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10b SortSchG 1985 — Erschöpfung des Sortenschutzes</w:t>
      </w:r>
    </w:p>
    <w:p>
      <w:r>
        <w:rPr>
          <w:color w:val="555555"/>
          <w:sz w:val="18"/>
        </w:rPr>
        <w:t xml:space="preserve">Sortenschutzgesetz</w:t>
      </w:r>
    </w:p>
    <w:p>
      <w:r>
        <w:rPr>
          <w:color w:val="555555"/>
          <w:sz w:val="18"/>
        </w:rPr>
        <w:t xml:space="preserve">Stand: 10.06.2019 (konsolidierte Textfassung, kein amtliches Inkrafttretensdatum)</w:t>
      </w:r>
    </w:p>
    <w:p>
      <w:r>
        <w:t xml:space="preserve">Der Sortenschutz erstreckt sich nicht auf Handlungen, die vorgenommen werden mit Pflanzen, Pflanzenteilen oder daraus unmittelbar gewonnenen Erzeugnissen (Material) der geschützten Sorte oder einer Sorte, auf die sich der Sortenschutz nach § 10 Abs. 1 Nr. 1 ebenfalls erstreckt, das vom Sortenschutzinhaber oder mit seiner Zustimmung in den Verkehr gebracht worden ist, es sei denn, daß diese Handlungen</w:t>
      </w:r>
    </w:p>
    <w:p>
      <w:pPr>
        <w:ind w:left="420"/>
      </w:pPr>
      <w:r>
        <w:t xml:space="preserve">1. eine erneute Erzeugung von Vermehrungsmaterial beinhalten, ohne daß das vorgenannte Material bei der Abgabe hierzu bestimmt war, oder</w:t>
      </w:r>
    </w:p>
    <w:p>
      <w:pPr>
        <w:ind w:left="420"/>
      </w:pPr>
      <w:r>
        <w:t xml:space="preserve">2. eine Ausfuhr von Material der Sorte, das die Vermehrung der Sorte ermöglicht, in ein Land einschließen, das Sorten der Art, der die Sorte zugehört, nicht schützt; dies gilt nicht, wenn das ausgeführte Material zum Anbau bestimmt ist.</w:t>
      </w:r>
    </w:p>
    <w:p>
      <w:r>
        <w:rPr>
          <w:color w:val="555555"/>
          <w:sz w:val="17"/>
        </w:rPr>
        <w:t xml:space="preserve">Zitiervorschlag: § 10b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