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SortSchG 1985 — Wirkung des Sortenschutzes</w:t>
      </w:r>
    </w:p>
    <w:p>
      <w:r>
        <w:rPr>
          <w:color w:val="555555"/>
          <w:sz w:val="18"/>
        </w:rPr>
        <w:t xml:space="preserve">Sortenschutzgesetz</w:t>
      </w:r>
    </w:p>
    <w:p>
      <w:r>
        <w:rPr>
          <w:color w:val="555555"/>
          <w:sz w:val="18"/>
        </w:rPr>
        <w:t xml:space="preserve">Stand: 10.06.2019 (konsolidierte Textfassung, kein amtliches Inkrafttretensdatum)</w:t>
      </w:r>
    </w:p>
    <w:p>
      <w:r>
        <w:t xml:space="preserve">(1) Vorbehaltlich der §§ 10a und 10b hat der Sortenschutz die Wirkung, daß allein der Sortenschutzinhaber berechtigt ist,</w:t>
      </w:r>
    </w:p>
    <w:p>
      <w:pPr>
        <w:ind w:left="420"/>
      </w:pPr>
      <w:r>
        <w:t xml:space="preserve">1. Vermehrungsmaterial der geschützten Sorte</w:t>
      </w:r>
    </w:p>
    <w:p>
      <w:pPr>
        <w:ind w:left="780"/>
      </w:pPr>
      <w:r>
        <w:t xml:space="preserve">a) zu erzeugen, für Vermehrungszwecke aufzubereiten, in den Verkehr zu bringen, ein- oder auszuführen oder</w:t>
      </w:r>
    </w:p>
    <w:p>
      <w:pPr>
        <w:ind w:left="780"/>
      </w:pPr>
      <w:r>
        <w:t xml:space="preserve">b) zu einem der unter Buchstabe a genannten Zwecke aufzubewahren,</w:t>
      </w:r>
    </w:p>
    <w:p>
      <w:pPr>
        <w:ind w:left="420"/>
      </w:pPr>
      <w:r>
        <w:t xml:space="preserve">2. Handlungen nach Nummer 1 vorzunehmen mit sonstigen Pflanzen oder Pflanzenteilen oder hieraus unmittelbar gewonnenen Erzeugnissen, wenn zu ihrer Erzeugung Vermehrungsmaterial ohne Zustimmung des Sortenschutzinhabers verwendet wurde und der Sortenschutzinhaber keine Gelegenheit hatte, sein Sortenschutzrecht hinsichtlich dieser Verwendung geltend zu machen.</w:t>
      </w:r>
    </w:p>
    <w:p>
      <w:r>
        <w:t xml:space="preserve">(2) Die Wirkung des Sortenschutzes nach Absatz 1 erstreckt sich auch auf Sorten,</w:t>
      </w:r>
    </w:p>
    <w:p>
      <w:pPr>
        <w:ind w:left="420"/>
      </w:pPr>
      <w:r>
        <w:t xml:space="preserve">1. die von der geschützten Sorte (Ausgangssorte) im wesentlichen abgeleitet worden sind, wenn die Ausgangssorte selbst keine im wesentlichen abgeleitete Sorte ist,</w:t>
      </w:r>
    </w:p>
    <w:p>
      <w:pPr>
        <w:ind w:left="420"/>
      </w:pPr>
      <w:r>
        <w:t xml:space="preserve">2. die sich von der geschützten Sorte nicht deutlich unterscheiden lassen oder</w:t>
      </w:r>
    </w:p>
    <w:p>
      <w:pPr>
        <w:ind w:left="420"/>
      </w:pPr>
      <w:r>
        <w:t xml:space="preserve">3. deren Erzeugung die fortlaufende Verwendung der geschützten Sorte erfordert.</w:t>
      </w:r>
    </w:p>
    <w:p>
      <w:r>
        <w:t xml:space="preserve">(3) Eine Sorte ist eine im wesentlichen abgeleitete Sorte, wenn</w:t>
      </w:r>
    </w:p>
    <w:p>
      <w:pPr>
        <w:ind w:left="420"/>
      </w:pPr>
      <w:r>
        <w:t xml:space="preserve">1. für ihre Züchtung oder Entdeckung vorwiegend die Ausgangssorte oder eine andere Sorte, die selbst von der Ausgangssorte abgeleitet ist, als Ausgangsmaterial verwendet wurde,</w:t>
      </w:r>
    </w:p>
    <w:p>
      <w:pPr>
        <w:ind w:left="420"/>
      </w:pPr>
      <w:r>
        <w:t xml:space="preserve">2. sie deutlich unterscheidbar ist und</w:t>
      </w:r>
    </w:p>
    <w:p>
      <w:pPr>
        <w:ind w:left="420"/>
      </w:pPr>
      <w:r>
        <w:t xml:space="preserve">3. sie in der Ausprägung der Merkmale, die aus dem Genotyp oder einer Kombination von Genotypen der Ausgangssorte herrühren, abgesehen von Unterschieden, die sich aus der verwendeten Ableitungsmethode ergeben, mit der Ausgangssorte im wesentlichen übereinstimmt.</w:t>
      </w:r>
    </w:p>
    <w:p>
      <w:r>
        <w:rPr>
          <w:color w:val="555555"/>
          <w:sz w:val="17"/>
        </w:rPr>
        <w:t xml:space="preserve">Zitiervorschlag: § 10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