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SortSchG 1985 — Voraussetzungen des Sortenschutzes</w:t>
      </w:r>
    </w:p>
    <w:p>
      <w:r>
        <w:rPr>
          <w:color w:val="555555"/>
          <w:sz w:val="18"/>
        </w:rPr>
        <w:t xml:space="preserve">Sortenschutzgesetz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Sortenschutz wird für eine Pflanzensorte (Sorte) erteilt, wenn sie</w:t>
      </w:r>
    </w:p>
    <w:p>
      <w:pPr>
        <w:ind w:left="420"/>
      </w:pPr>
      <w:r>
        <w:t xml:space="preserve">1. unterscheidbar,</w:t>
      </w:r>
    </w:p>
    <w:p>
      <w:pPr>
        <w:ind w:left="420"/>
      </w:pPr>
      <w:r>
        <w:t xml:space="preserve">2. homogen,</w:t>
      </w:r>
    </w:p>
    <w:p>
      <w:pPr>
        <w:ind w:left="420"/>
      </w:pPr>
      <w:r>
        <w:t xml:space="preserve">3. beständig,</w:t>
      </w:r>
    </w:p>
    <w:p>
      <w:pPr>
        <w:ind w:left="420"/>
      </w:pPr>
      <w:r>
        <w:t xml:space="preserve">4. neu und</w:t>
      </w:r>
    </w:p>
    <w:p>
      <w:pPr>
        <w:ind w:left="420"/>
      </w:pPr>
      <w:r>
        <w:t xml:space="preserve">5. durch eine eintragbare Sortenbezeichnung bezeichnet</w:t>
      </w:r>
    </w:p>
    <w:p>
      <w:r>
        <w:t xml:space="preserve">ist.</w:t>
      </w:r>
    </w:p>
    <w:p>
      <w:r>
        <w:t xml:space="preserve">(2) Für eine Sorte, die Gegenstand eines gemeinschaftlichen Sortenschutzes ist, wird ein Sortenschutz nach diesem Gesetz nicht erteilt.</w:t>
      </w:r>
    </w:p>
    <w:p>
      <w:r>
        <w:rPr>
          <w:color w:val="555555"/>
          <w:sz w:val="17"/>
        </w:rPr>
        <w:t xml:space="preserve">Zitiervorschlag: § 1 SortSchG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https://recht.nulegal.eu/gesetze/SortSchG%201985/1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