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SopV (Brandenburg) — Inkrafttreten, Außerkrafttreten</w:t>
      </w:r>
    </w:p>
    <w:p>
      <w:r>
        <w:rPr>
          <w:color w:val="555555"/>
          <w:sz w:val="18"/>
        </w:rPr>
        <w:t xml:space="preserve">Sonderpädagogik-Verordnung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1. August 2017 in Kraft. Gleichzeitig tritt die Sonderpädagogik-Verordnung vom 2. August 2007 (GVBl. II S. 223), die durch Verordnung vom 10. Juli 2009 (GVBl. II S. 433) geändert worden ist, außer Kraft.</w:t>
      </w:r>
    </w:p>
    <w:p>
      <w:r>
        <w:t xml:space="preserve">Einzelnorm</w:t>
      </w:r>
    </w:p>
    <w:p>
      <w:r>
        <w:t xml:space="preserve">Potsdam, den 20. Juli 2017</w:t>
      </w:r>
    </w:p>
    <w:p>
      <w:r>
        <w:t xml:space="preserve">Der Minister für Bildung,</w:t>
      </w:r>
    </w:p>
    <w:p>
      <w:r>
        <w:t xml:space="preserve">Jugend und Sport</w:t>
      </w:r>
    </w:p>
    <w:p>
      <w:r>
        <w:t xml:space="preserve">Günter Baaske</w:t>
      </w:r>
    </w:p>
    <w:p>
      <w:r>
        <w:t xml:space="preserve">Anlagen</w:t>
      </w:r>
    </w:p>
    <w:p>
      <w:r>
        <w:t xml:space="preserve">1</w:t>
      </w:r>
    </w:p>
    <w:p>
      <w:r>
        <w:t xml:space="preserve">Anlage (zu § 15 Absatz 3) - Wochenstundentafel an Schulen mit dem sonderpädagogischen Förderschwerpunkt „Lernen“ 708.0 KB</w:t>
      </w:r>
    </w:p>
    <w:p>
      <w:r>
        <w:rPr>
          <w:color w:val="555555"/>
          <w:sz w:val="17"/>
        </w:rPr>
        <w:t xml:space="preserve">Zitiervorschlag: § 20 SopV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https://recht.nulegal.eu/gesetze/SopV/20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