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SopV (Brandenburg) — Durchführung der Verordnung</w:t>
      </w:r>
    </w:p>
    <w:p>
      <w:r>
        <w:rPr>
          <w:color w:val="555555"/>
          <w:sz w:val="18"/>
        </w:rPr>
        <w:t xml:space="preserve">Sonderpädagogik-Verordnung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Näheres zur Durchführung dieser Verordnung regeln Verwaltungsvorschriften.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19 SopV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https://recht.nulegal.eu/gesetze/SopV/19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