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SonnenblV</w:t>
      </w:r>
    </w:p>
    <w:p>
      <w:r>
        <w:rPr>
          <w:color w:val="555555"/>
          <w:sz w:val="18"/>
        </w:rPr>
        <w:t xml:space="preserve">Verordnung über besondere Anforderungen an Saatgut von Sonnenblumen im Rahmen der Saatgutanerkennung 2009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5 Absatz 2 Nummer 1 und 1a in Verbindung mit Absatz 1 Nummer 1 Buchstabe b und des § 22 Absatz 1 Nummer 4 in Verbindung mit Absatz 3 des Saatgutverkehrsgesetzes in der Fassung der Bekanntmachung vom 16. Juli 2004 (BGBl. I S. 1673), § 5 Absatz 1 und 2 und § 22 Absatz 1 und 3 zuletzt geändert durch Artikel 192 Nummer 1 der Verordnung vom 31. Oktober 2006 (BGBl. I S. 2407), verordnet das Bundesministerium für Ernährung, Landwirtschaft und Verbraucherschutz:</w:t>
      </w:r>
    </w:p>
    <w:p>
      <w:r>
        <w:rPr>
          <w:color w:val="555555"/>
          <w:sz w:val="17"/>
        </w:rPr>
        <w:t xml:space="preserve">Zitiervorschlag: Eingangsformel SonnenblV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https://recht.nulegal.eu/gesetze/SonnenblV/eingangsformel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