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Sonderurlaubsgesetz (Sachsen)</w:t>
      </w:r>
    </w:p>
    <w:p>
      <w:r>
        <w:rPr>
          <w:color w:val="555555"/>
          <w:sz w:val="18"/>
        </w:rPr>
        <w:t xml:space="preserve">Sonderurlaubsgesetz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Der Sonderurlaub beträgt bis zu 12 Arbeitstage jährlich. Er kann auf höchstens vier Veranstaltungen im Jahr verteilt werden.</w:t>
      </w:r>
    </w:p>
    <w:p>
      <w:r>
        <w:t xml:space="preserve">(2) Ein Anspruch auf Bezahlung des Sonderurlaubs besteht nicht. Der Sonderurlaub ist auf das nächste Jahr nicht übertragbar.</w:t>
      </w:r>
    </w:p>
    <w:p>
      <w:r>
        <w:rPr>
          <w:color w:val="555555"/>
          <w:sz w:val="17"/>
        </w:rPr>
        <w:t xml:space="preserve">Zitiervorschlag: § 2 Sonderurlaubsgesetz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https://recht.nulegal.eu/gesetze/Sonderurlaubsgesetz/2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Sonderurlaubsgesetz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