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SolvV 2014 — Berechnungen und Meldungen für das aufsichtliche Benchmarking</w:t>
      </w:r>
    </w:p>
    <w:p>
      <w:r>
        <w:rPr>
          <w:color w:val="555555"/>
          <w:sz w:val="18"/>
        </w:rPr>
        <w:t xml:space="preserve">Solvabilitätsverordnung</w:t>
      </w:r>
    </w:p>
    <w:p>
      <w:r>
        <w:rPr>
          <w:color w:val="555555"/>
          <w:sz w:val="18"/>
        </w:rPr>
        <w:t xml:space="preserve">Stand: 10.04.2026 (konsolidierte Textfassung, kein amtliches Inkrafttretensdatum)</w:t>
      </w:r>
    </w:p>
    <w:p>
      <w:r>
        <w:t xml:space="preserve">(1) Das Institut meldet die Ergebnisse seiner Berechnungen für diejenigen seiner Risikopositionen oder Positionen, die in dem Referenzportfolio enthalten sind, wenn</w:t>
      </w:r>
    </w:p>
    <w:p>
      <w:pPr>
        <w:ind w:left="420"/>
      </w:pPr>
      <w:r>
        <w:t xml:space="preserve">1. für einen internen Ansatz nach § 1 Absatz 27 des Kreditwesengesetzes die technischen Durchführungsstandards nach Artikel 78 Absatz 8 der Richtlinie 2013/36/EU ein Referenzportfolio enthalten oder die zuständige Behörde ein Referenzportfolio bestimmt hat und</w:t>
      </w:r>
    </w:p>
    <w:p>
      <w:pPr>
        <w:ind w:left="420"/>
      </w:pPr>
      <w:r>
        <w:t xml:space="preserve">2. ein Institut diesen internen Ansatz verwenden darf, um risikogewichtete Positionsbeträge oder Eigenmittelanforderungen zu ermitteln.</w:t>
      </w:r>
    </w:p>
    <w:p>
      <w:r>
        <w:t xml:space="preserve">(2) Das Institut meldet die Ergebnisse seiner Berechnungen für diejenigen seiner Risikopositionen oder Positionen, die in dem Referenzportfolio enthalten sind, wenn</w:t>
      </w:r>
    </w:p>
    <w:p>
      <w:pPr>
        <w:ind w:left="420"/>
      </w:pPr>
      <w:r>
        <w:t xml:space="preserve">1. für den alternativen Standardansatz nach Teil 3 Titel IV Kapitel 1a der Verordnung (EU) Nr. 575/2013 die technischen Durchführungsstandards nach Artikel 78 Absatz 8 der Richtlinie 2013/36/EU ein Referenzportfolio enthalten oder die zuständige Behörde ein Referenzportfolio bestimmt hat und</w:t>
      </w:r>
    </w:p>
    <w:p>
      <w:pPr>
        <w:ind w:left="420"/>
      </w:pPr>
      <w:r>
        <w:t xml:space="preserve">2. ein Institut diesen Ansatz anwendet und zudem</w:t>
      </w:r>
    </w:p>
    <w:p>
      <w:pPr>
        <w:ind w:left="420"/>
      </w:pPr>
      <w:r>
        <w:t xml:space="preserve">3. der Umfang der dem Marktrisiko unterliegenden bilanziellen und außerbilanziellen Geschäfte des Instituts nach Artikel 325a Absatz 1 Buchstabe b der Verordnung (EU) Nr. 575/2013 500 Millionen Euro oder mehr beträgt.</w:t>
      </w:r>
    </w:p>
    <w:p>
      <w:r>
        <w:t xml:space="preserve">(3) Das Institut meldet die Ergebnisse der Berechnungen zur Bestimmung des Betrags der erwarteten Kreditverluste für diejenigen seiner Risikopositionen oder Positionen, die in dem Referenzportfolio enthalten sind, wenn</w:t>
      </w:r>
    </w:p>
    <w:p>
      <w:pPr>
        <w:ind w:left="420"/>
      </w:pPr>
      <w:r>
        <w:t xml:space="preserve">1. für die Bestimmung des Betrags der erwarteten Kreditverluste die technischen Durchführungsstandards nach Artikel 78 Absatz 8 der Richtlinie 2013/36/EU ein Referenzportfolio enthalten oder die zuständige Behörde ein Referenzportfolio bestimmt hat und</w:t>
      </w:r>
    </w:p>
    <w:p>
      <w:pPr>
        <w:ind w:left="420"/>
      </w:pPr>
      <w:r>
        <w:t xml:space="preserve">2. ein Institut</w:t>
      </w:r>
    </w:p>
    <w:p>
      <w:pPr>
        <w:ind w:left="780"/>
      </w:pPr>
      <w:r>
        <w:t xml:space="preserve">a) den IRB-Ansatz nach Artikel 143 Absatz 1 und 2 der Verordnung (EU) Nr. 575/2013 anwenden darf oder</w:t>
      </w:r>
    </w:p>
    <w:p>
      <w:pPr>
        <w:ind w:left="780"/>
      </w:pPr>
      <w:r>
        <w:t xml:space="preserve">b) den Standardansatz nach Teil 3 Titel II Kapitel 2 der Verordnung (EU) Nr. 575/2013 anwendet und von der Europäischen Bankenaufsichtsbehörde auf der Grundlage der technischen Durchführungsstandards nach Artikel 78 Absatz 8 der Richtlinie 2013/36/EU als relevantes Institut festgelegt wurde</w:t>
      </w:r>
    </w:p>
    <w:p>
      <w:pPr>
        <w:ind w:left="420"/>
      </w:pPr>
      <w:r>
        <w:t xml:space="preserve">und zudem</w:t>
      </w:r>
    </w:p>
    <w:p>
      <w:pPr>
        <w:ind w:left="420"/>
      </w:pPr>
      <w:r>
        <w:t xml:space="preserve">3. das Institut</w:t>
      </w:r>
    </w:p>
    <w:p>
      <w:pPr>
        <w:ind w:left="780"/>
      </w:pPr>
      <w:r>
        <w:t xml:space="preserve">a) einen Abschluss im Einklang mit internationalen Rechnungslegungsstandards erstellt, wie sie nach Maßgabe der Verordnung (EG) Nr. 1606/2002 angewandt werden, oder</w:t>
      </w:r>
    </w:p>
    <w:p>
      <w:pPr>
        <w:ind w:left="780"/>
      </w:pPr>
      <w:r>
        <w:t xml:space="preserve">b) die Bewertung von Vermögenswerten und außerbilanziellen Posten und die Bestimmung der Eigenmittel im Einklang mit internationalen Rechnungslegungsstandards nach Artikel 24 Absatz 2 der Verordnung (EU) Nr. 575/2013 vornimmt.</w:t>
      </w:r>
    </w:p>
    <w:p>
      <w:r>
        <w:t xml:space="preserve">(4) Die Berechnungen und Meldungen nach den Absätzen 1 bis 3 müssen für jeden vom Institut verwendeten Ansatz getrennt erfolgen. Die Ergebnisse der Berechnungen zu einem Referenzportfolio sind mit einer Erläuterung der bei der Ermittlung der Ergebnisse angewandten Methoden zu melden. Die zuständige Behörde legt weitere Einzelheiten zu den Berechnungen und Meldungen, insbesondere die Meldefrequenz, Meldestichtage und Einreichungstermine, fest.</w:t>
      </w:r>
    </w:p>
    <w:p>
      <w:r>
        <w:rPr>
          <w:color w:val="555555"/>
          <w:sz w:val="17"/>
        </w:rPr>
        <w:t xml:space="preserve">Zitiervorschlag: § 5 SolvV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https://recht.nulegal.eu/gesetze/SolvV%202014/5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