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37a SolvV 2014 — Maximal ausschüttungsfähiger Betrag in Bezug auf die Verschuldungsquote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22.02.2023 (konsolidierte Textfassung, kein amtliches Inkrafttretensdatum)</w:t>
      </w:r>
    </w:p>
    <w:p>
      <w:r>
        <w:t xml:space="preserve">(1) Der maximal ausschüttungsfähige Betrag in Bezug auf die Verschuldungsquote im Sinne des § 10j Absatz 3 Satz 1 des Kreditwesengesetzes errechnet sich durch Multiplikation des nach Absatz 2 berechneten Betrags mit dem nach Absatz 3 festgelegten Faktor. Er reduziert sich durch jede nach § 10j Absatz 3 Satz 4 Nummer 1 bis 3 des Kreditwesengesetzes durchgeführte Maßnahme.</w:t>
      </w:r>
    </w:p>
    <w:p>
      <w:r>
        <w:t xml:space="preserve">(2) Der zu multiplizierende Betrag ergibt sich aus</w:t>
      </w:r>
    </w:p>
    <w:p>
      <w:pPr>
        <w:ind w:left="420"/>
      </w:pPr>
      <w:r>
        <w:t xml:space="preserve">1. den Zwischengewinnen, die nicht im harten Kernkapital nach Artikel 26 Absatz 2 der Verordnung (EU) Nr. 575/2013 enthalten sind, abzüglich etwaiger Gewinnausschüttungen oder Zahlungen im Zusammenhang mit den Maßnahmen nach § 10j Absatz 3 Satz 4 Nummer 1 bis 3 des Kreditwesengesetzes,</w:t>
      </w:r>
    </w:p>
    <w:p>
      <w:pPr>
        <w:ind w:left="420"/>
      </w:pPr>
      <w:r>
        <w:t xml:space="preserve">2. zuzüglich der Gewinne zum Jahresende, die nicht im harten Kernkapital nach Artikel 26 Absatz 2 der Verordnung (EU) Nr. 575/2013 enthalten sind, abzüglich etwaiger Gewinnausschüttungen oder Zahlungen im Zusammenhang mit den Maßnahmen nach § 10j Absatz 3 Satz 4 Nummer 1 bis 3 des Kreditwesengesetzes,</w:t>
      </w:r>
    </w:p>
    <w:p>
      <w:pPr>
        <w:ind w:left="420"/>
      </w:pPr>
      <w:r>
        <w:t xml:space="preserve">3. abzüglich der Beträge, die in Form von Steuern zu zahlen wären, wenn die unter den Nummern 1 und 2 aufgeführten Gewinne einbehalten würden.</w:t>
      </w:r>
    </w:p>
    <w:p>
      <w:r>
        <w:t xml:space="preserve">(3) Liegt das von dem global systemrelevanten Institut vorgehaltene und nicht zur Einhaltung der Eigenmittelanforderungen nach Artikel 92 Absatz 1 Buchstabe d der Verordnung (EU) Nr. 575/2013 und zur Einhaltung der zusätzlichen Eigenmittelanforderungen zur Absicherung gegen Risiken einer übermäßigen Verschuldung nach § 6c sowie nach § 10 Absatz 3 und 4 des Kreditwesengesetzes verwendete Kernkapital, ausgedrückt als Prozentsatz der Gesamtrisikopositionsmessgröße im Sinne von Artikel 429 Absatz 4 der Verordnung (EU) Nr. 575/2013, innerhalb des</w:t>
      </w:r>
    </w:p>
    <w:p>
      <w:pPr>
        <w:ind w:left="420"/>
      </w:pPr>
      <w:r>
        <w:t xml:space="preserve">1. ersten, das heißt des untersten, Quartils der Anforderung an den Puffer der Verschuldungsquote, so beträgt der Faktor 0;</w:t>
      </w:r>
    </w:p>
    <w:p>
      <w:pPr>
        <w:ind w:left="420"/>
      </w:pPr>
      <w:r>
        <w:t xml:space="preserve">2. zweiten Quartils der Anforderung an den Puffer der Verschuldungsquote, so beträgt der Faktor 0,2;</w:t>
      </w:r>
    </w:p>
    <w:p>
      <w:pPr>
        <w:ind w:left="420"/>
      </w:pPr>
      <w:r>
        <w:t xml:space="preserve">3. dritten Quartils der Anforderung an den Puffer der Verschuldungsquote, so beträgt der Faktor 0,4;</w:t>
      </w:r>
    </w:p>
    <w:p>
      <w:pPr>
        <w:ind w:left="420"/>
      </w:pPr>
      <w:r>
        <w:t xml:space="preserve">4. vierten, das heißt des obersten, Quartils der Anforderung an den Puffer der Verschuldungsquote, so beträgt der Faktor 0,6.</w:t>
      </w:r>
    </w:p>
    <w:p>
      <w:r>
        <w:t xml:space="preserve">(4) Die Ober- und Untergrenzen für jedes Quartil der Anforderung an den Puffer der Verschuldungsquote sind wie folgt zu berechnen: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t xml:space="preserve">Dabei steht Qn für die Ordinalzahl des betreffenden Quartils.</w:t>
      </w:r>
    </w:p>
    <w:p>
      <w:r>
        <w:rPr>
          <w:color w:val="555555"/>
          <w:sz w:val="17"/>
        </w:rPr>
        <w:t xml:space="preserve">Zitiervorschlag: § 37a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https://recht.nulegal.eu/gesetze/SolvV%202014/37a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