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SolvV 2014 — Maßgebliche Risikopositionen</w:t>
      </w:r>
    </w:p>
    <w:p>
      <w:r>
        <w:rPr>
          <w:color w:val="555555"/>
          <w:sz w:val="18"/>
        </w:rPr>
        <w:t xml:space="preserve">Solvabilitätsverordnung</w:t>
      </w:r>
    </w:p>
    <w:p>
      <w:r>
        <w:rPr>
          <w:color w:val="555555"/>
          <w:sz w:val="18"/>
        </w:rPr>
        <w:t xml:space="preserve">Stand: 10.06.2019 (konsolidierte Textfassung, kein amtliches Inkrafttretensdatum)</w:t>
      </w:r>
    </w:p>
    <w:p>
      <w:r>
        <w:t xml:space="preserve">(1) Zu den maßgeblichen Risikopositionen im Sinne von § 10d Absatz 2 des Kreditwesengesetzes zählt jede Risikoposition, die keiner der Forderungsklassen des Artikels 112 Buchstabe a bis f der Verordnung (EU) Nr. 575/2013 angehört und für die eine der nachfolgenden Bedingungen erfüllt ist:</w:t>
      </w:r>
    </w:p>
    <w:p>
      <w:pPr>
        <w:ind w:left="420"/>
      </w:pPr>
      <w:r>
        <w:t xml:space="preserve">1. sie unterliegt den Eigenmittelanforderungen für Kreditrisiken gemäß den Artikeln 107 bis 311 der Verordnung (EU) Nr. 575/2013,</w:t>
      </w:r>
    </w:p>
    <w:p>
      <w:pPr>
        <w:ind w:left="420"/>
      </w:pPr>
      <w:r>
        <w:t xml:space="preserve">2. wird die Risikoposition im Handelsbuch geführt, sind die Eigenmittelanforderungen für spezifische Risiken gemäß den Artikeln 326 bis 350 oder für zusätzliche Ausfall- und Migrationsrisiken gemäß den Artikeln 362 bis 377 der Verordnung (EU) Nr. 575/2013 anzuwenden,</w:t>
      </w:r>
    </w:p>
    <w:p>
      <w:pPr>
        <w:ind w:left="420"/>
      </w:pPr>
      <w:r>
        <w:t xml:space="preserve">3. handelt es sich bei der Risikoposition um eine Verbriefung, so sind die Eigenmittelanforderungen gemäß den Artikeln 242 bis 270 der Verordnung (EU) Nr. 575/2013 anzuwenden.</w:t>
      </w:r>
    </w:p>
    <w:p>
      <w:r>
        <w:t xml:space="preserve">(2) Für die Zwecke der in § 10d Absatz 2 des Kreditwesengesetzes vorgeschriebenen Berechnung</w:t>
      </w:r>
    </w:p>
    <w:p>
      <w:pPr>
        <w:ind w:left="420"/>
      </w:pPr>
      <w:r>
        <w:t xml:space="preserve">1. ist die geänderte Quote für den antizyklischen Kapitalpuffer für einen Staat des Europäischen Wirtschaftsraums im Falle ihrer Erhöhung ab dem Datum anzuwenden, das in den nach § 34 oder nach § 10d Absatz 9 des Kreditwesengesetzes veröffentlichten Informationen angegeben ist;</w:t>
      </w:r>
    </w:p>
    <w:p>
      <w:pPr>
        <w:ind w:left="420"/>
      </w:pPr>
      <w:r>
        <w:t xml:space="preserve">2. ist eine geänderte Quote für den antizyklischen Kapitalpuffer für einen Drittstaat im Falle ihrer Erhöhung vorbehaltlich Nummer 3 ab dem Tag anzuwenden, der zwölf Monate nach dem Datum liegt, an dem die zuständige Behörde in dem Drittstaat eine Änderung der Quote für den antizyklischen Kapitalpuffer bekannt gegeben hat, unabhängig davon, ob diese Behörde von den Instituten mit Sitz in dem betreffenden Drittstaat verlangt, diese Änderung innerhalb einer kürzeren Frist anzuwenden;</w:t>
      </w:r>
    </w:p>
    <w:p>
      <w:pPr>
        <w:ind w:left="420"/>
      </w:pPr>
      <w:r>
        <w:t xml:space="preserve">3. ist die jeweilige Quote für den antizyklischen Kapitalpuffer in Fällen, in denen die Bundesanstalt die Quote für den antizyklischen Kapitalpuffer für einen Drittstaat festlegt oder die für einen Drittstaat geltende Quote für den antizyklischen Kapitalpuffer anerkennt und die Festlegung oder Anerkennung zu einer Erhöhung der bisher jeweils geltenden Quote führt, ab dem Datum anzuwenden, das in den gemäß § 10d Absatz 9 des Kreditwesengesetzes veröffentlichten Informationen angegeben ist;</w:t>
      </w:r>
    </w:p>
    <w:p>
      <w:pPr>
        <w:ind w:left="420"/>
      </w:pPr>
      <w:r>
        <w:t xml:space="preserve">4. gilt eine Quote für den antizyklischen Kapitalpuffer bei einer Herabsetzung der Quote ab der Entscheidung über die Herabsetzung der Quote.</w:t>
      </w:r>
    </w:p>
    <w:p>
      <w:r>
        <w:t xml:space="preserve">Für die Zwecke des Satzes 1 Nummer 2 gilt eine Änderung der Quote für den antizyklischen Kapitalpuffer für einen Drittstaat ab dem Datum als bekannt gegeben, an dem sie von der zuständigen Behörde in diesem Drittstaat nach den dort geltenden einzelstaatlichen Vorschriften veröffentlicht wird.</w:t>
      </w:r>
    </w:p>
    <w:p>
      <w:r>
        <w:t xml:space="preserve">(3) Die Belegenheit eines wesentlichen Kreditengagements nach § 10d Absatz 2 des Kreditwesengesetzes bestimmt das Institut unter Berücksichtigung etwaiger Rechtsakte, die von der Europäischen Kommission hierzu auf der Grundlage der Verordnung (EU) Nr. 1093/2010 des Europäischen Parlaments und des Rates vom 24. November 2010 zur Errichtung einer Europäischen Aufsichtsbehörde (Europäische Bankenaufsichtsbehörde), zur Änderung des Beschlusses Nr. 716/2009/EG und zur Aufhebung des Beschlusses 2009/78/EG der Kommission (ABl. L 331 vom 15.12.2010, S. 12) in der jeweils geltenden Fassung erlassen wurden.</w:t>
      </w:r>
    </w:p>
    <w:p>
      <w:r>
        <w:rPr>
          <w:color w:val="555555"/>
          <w:sz w:val="17"/>
        </w:rPr>
        <w:t xml:space="preserve">Zitiervorschlag: § 36 SolvV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https://recht.nulegal.eu/gesetze/SolvV%202014/36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