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SolvV 2014 — Festlegung der Quote für den inländischen antizyklischen Kapitalpuffer</w:t>
      </w:r>
    </w:p>
    <w:p>
      <w:r>
        <w:rPr>
          <w:color w:val="555555"/>
          <w:sz w:val="18"/>
        </w:rPr>
        <w:t xml:space="preserve">Solvabilitätsverordnung</w:t>
      </w:r>
    </w:p>
    <w:p>
      <w:r>
        <w:rPr>
          <w:color w:val="555555"/>
          <w:sz w:val="18"/>
        </w:rPr>
        <w:t xml:space="preserve">Stand: 10.06.2019 (konsolidierte Textfassung, kein amtliches Inkrafttretensdatum)</w:t>
      </w:r>
    </w:p>
    <w:p>
      <w:r>
        <w:t xml:space="preserve">(1) Zur Festlegung der Quote für den inländischen antizyklischen Kapitalpuffer gemäß § 10d des Kreditwesengesetzes ermittelt die Bundesanstalt quartalsweise einen Puffer-Richtwert. Dieser spiegelt in aussagekräftiger Form den Kreditzyklus und die durch ein übermäßiges Kreditwachstum bedingten Risiken im Inland wider und trägt den spezifischen volkswirtschaftlichen Gegebenheiten im Geltungsbereich des Kreditwesengesetzes Rechnung. Der Puffer-Richtwert basiert auf der Abweichung des Verhältnisses der im Inland gewährten Kredite zum Bruttoinlandsprodukt (Kredite-BIP-Verhältnis) vom langfristigen Trend. Bei der Festlegung des Puffer-Richtwerts berücksichtigt die Bundesanstalt:</w:t>
      </w:r>
    </w:p>
    <w:p>
      <w:pPr>
        <w:ind w:left="420"/>
      </w:pPr>
      <w:r>
        <w:t xml:space="preserve">1. einen Indikator für das Kreditwachstum im Inland und insbesondere einen Indikator, der Veränderungen des Kredite-BIP-Verhältnisses widerspiegelt;</w:t>
      </w:r>
    </w:p>
    <w:p>
      <w:pPr>
        <w:ind w:left="420"/>
      </w:pPr>
      <w:r>
        <w:t xml:space="preserve">2. etwaige Empfehlungen zur Messung und Berechnung der Abweichung des Kredite-BIP-Verhältnisses vom langfristigen Trend sowie zur Ermittlung der Puffer-Richtwerte des Europäischen Ausschusses für Systemrisiken nach Artikel 16 der Verordnung (EU) Nr. 1092/2010 des Europäischen Parlaments und des Rates vom 24. November 2010 über die Finanzaufsicht der Europäischen Union auf Makroebene und zur Errichtung eines Europäischen Ausschusses für Systemrisiken (ABl. L 331 vom 15.12.2010, S. 1) in der jeweils geltenden Fassung.</w:t>
      </w:r>
    </w:p>
    <w:p>
      <w:r>
        <w:t xml:space="preserve">(2) Bei der Festlegung und Bewertung der Quote für den antizyklischen Kapitalpuffer berücksichtigt die Bundesanstalt darüber hinaus alle etwaigen Empfehlungen, die der Europäische Ausschuss für Systemrisiken gemäß Artikel 135 Absatz 1 der Richtlinie 2013/36/EU des Europäischen Parlaments und des Rates vom 26. Juni 2013 über den Zugang zur Tätigkeit von Kreditinstituten und die Beaufsichtigung von Kreditinstituten und Wertpapierfirmen, zur Änderung der Richtlinie 2002/87/EG und zur Aufhebung der Richtlinien 2006/48/EG und 2006/49/EG (ABl. L 176 vom 27.6.2013, S. 338) abgibt.</w:t>
      </w:r>
    </w:p>
    <w:p>
      <w:r>
        <w:rPr>
          <w:color w:val="555555"/>
          <w:sz w:val="17"/>
        </w:rPr>
        <w:t xml:space="preserve">Zitiervorschlag: § 33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