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SolvV 2014 — Prüfungen bei Verwendung eines erlaubnispflichtigen Ansatzes zur Ermittlung der Mindesteigenmittelanforderungen</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Hat die zuständige Behörde einem Institut die Erlaubnis zur Verwendung eines Ansatzes zur Ermittlung der Mindesteigenmittelanforderungen erteilt, dessen Verwendung nach den Artikeln 92 bis 386 der Verordnung (EU) Nr. 575/2013 einer Erlaubnis der zuständigen Behörde bedarf (erlaubnispflichtiger Ansatz zur Ermittlung der Mindesteigenmittelanforderungen), muss sie regelmäßig überprüfen, ob die Anforderungen für diesen Ansatz nach dieser Verordnung und nach der Verordnung (EU) Nr. 575/2013 erfüllt sind. Die Überprüfung findet mindestens alle drei Jahre statt. Daneben prüft die zuständige Behörde im Rahmen von Nachschauprüfungen, ob festgestellte Mängel abgestellt und Auflagen erfüllt sind.</w:t>
      </w:r>
    </w:p>
    <w:p>
      <w:r>
        <w:t xml:space="preserve">(2) Die zuständige Behörde kann die Eignungsbeurteilung für die Erlaubnis zur Verwendung eines Ansatzes sowie die regelmäßige Überprüfung und die Nachschauprüfungen auf der Grundlage des Ergebnisses eines Auskunftsverlangens nach § 44 Absatz 1 Satz 1 des Kreditwesengesetzes oder auch des Ergebnisses einer Prüfung nach § 44 Absatz 1 Satz 3 des Kreditwesengesetzes durchführen.</w:t>
      </w:r>
    </w:p>
    <w:p>
      <w:r>
        <w:t xml:space="preserve">(3) Bei der Überprüfung berücksichtigt die zuständige Behörde insbesondere Veränderungen der Geschäftstätigkeit des Instituts sowie die Anwendung dieses erlaubnispflichtigen Ansatzes zur Ermittlung der Mindesteigenmittelanforderungen auf neue Produkte. Zusätzlich überprüft sie, ob das Institut für diesen Ansatz ausgereifte und aktuelle Techniken und Praktiken anwendet.</w:t>
      </w:r>
    </w:p>
    <w:p>
      <w:r>
        <w:t xml:space="preserve">(4) Bei der Überprüfung berücksichtigt die zuständige Behörde die Analysen und Benchmarks der Europäischen Bankenaufsichtsbehörde.</w:t>
      </w:r>
    </w:p>
    <w:p>
      <w:r>
        <w:rPr>
          <w:color w:val="555555"/>
          <w:sz w:val="17"/>
        </w:rPr>
        <w:t xml:space="preserve">Zitiervorschlag: § 3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