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SolvV 2014 — Prozentsätze für Abzüge nach den Artikeln 32 bis 36, 56 und 66 der Verordnung (EU) Nr. 575/2013</w:t>
      </w:r>
    </w:p>
    <w:p>
      <w:r>
        <w:rPr>
          <w:color w:val="555555"/>
          <w:sz w:val="18"/>
        </w:rPr>
        <w:t xml:space="preserve">Solvabilitätsverordnung</w:t>
      </w:r>
    </w:p>
    <w:p>
      <w:r>
        <w:rPr>
          <w:color w:val="555555"/>
          <w:sz w:val="18"/>
        </w:rPr>
        <w:t xml:space="preserve">Stand: 10.06.2019 (konsolidierte Textfassung, kein amtliches Inkrafttretensdatum)</w:t>
      </w:r>
    </w:p>
    <w:p>
      <w:r>
        <w:t xml:space="preserve">(1) Abweichend von den Artikeln 32 bis 36, 56 und 66 der Verordnung (EU) Nr. 575/2013 gelten im Zeitraum vom 1. Januar 2014 bis 31. Dezember 2017 für die in Artikel 481 Absatz 1 der Verordnung (EU) Nr. 575/2013 von den Instituten geforderten Anpassungen für Abzüge, die gemäß § 10 Absatz 2a Satz 2, Absatz 6 Satz 1 und 2 sowie Absatz 6a Nummer 1, 2 und 4 des Kreditwesengesetzes in der bis zum 31. Dezember 2013 geltenden Fassung vorgeschrieben sind, folgende Prozentsätze:</w:t>
      </w:r>
    </w:p>
    <w:p>
      <w:pPr>
        <w:ind w:left="420"/>
      </w:pPr>
      <w:r>
        <w:t xml:space="preserve">1. 80 Prozent im Zeitraum vom 1. Januar 2014 bis 31. Dezember 2014;</w:t>
      </w:r>
    </w:p>
    <w:p>
      <w:pPr>
        <w:ind w:left="420"/>
      </w:pPr>
      <w:r>
        <w:t xml:space="preserve">2. 60 Prozent im Zeitraum vom 1. Januar 2015 bis 31. Dezember 2015;</w:t>
      </w:r>
    </w:p>
    <w:p>
      <w:pPr>
        <w:ind w:left="420"/>
      </w:pPr>
      <w:r>
        <w:t xml:space="preserve">3. 40 Prozent im Zeitraum vom 1. Januar 2016 bis 31. Dezember 2016 und</w:t>
      </w:r>
    </w:p>
    <w:p>
      <w:pPr>
        <w:ind w:left="420"/>
      </w:pPr>
      <w:r>
        <w:t xml:space="preserve">4. 20 Prozent im Zeitraum vom 1. Januar 2017 bis 31. Dezember 2017.</w:t>
      </w:r>
    </w:p>
    <w:p>
      <w:r>
        <w:t xml:space="preserve">(2) Bei Anwendung der Regelungen der Artikel 32 bis 36, 56 und 66 der Verordnung (EU) Nr. 575/2013 gilt im Zeitraum vom 1. Januar 2014 bis 31. Dezember 2017 für die nach § 10a Absatz 6 Satz 9 des Kreditwesengesetzes in der bis zum 31. Dezember 2013 geltenden Fassung von den Instituten geforderte Anpassung ein Prozentsatz von 0 Prozent.</w:t>
      </w:r>
    </w:p>
    <w:p>
      <w:r>
        <w:t xml:space="preserve">(3) Der Unterschiedsbetrag, der nach § 2 Absatz 1 der Konzernabschlussüberleitungsverordnung in der bis zum 31. Dezember 2013 geltenden Fassung im Ergänzungskapital berücksichtigungsfähig ist, kann im Zeitraum vom 1. Januar 2014 bis 31. Dezember 2017 multipliziert mit den folgenden Prozentsätzen weiterhin dem Ergänzungskapital zugerechnet werden:</w:t>
      </w:r>
    </w:p>
    <w:p>
      <w:pPr>
        <w:ind w:left="420"/>
      </w:pPr>
      <w:r>
        <w:t xml:space="preserve">1. 80 Prozent im Zeitraum vom 1. Januar 2014 bis 31. Dezember 2014;</w:t>
      </w:r>
    </w:p>
    <w:p>
      <w:pPr>
        <w:ind w:left="420"/>
      </w:pPr>
      <w:r>
        <w:t xml:space="preserve">2. 60 Prozent im Zeitraum vom 1. Januar 2015 bis 31. Dezember 2015;</w:t>
      </w:r>
    </w:p>
    <w:p>
      <w:pPr>
        <w:ind w:left="420"/>
      </w:pPr>
      <w:r>
        <w:t xml:space="preserve">3. 40 Prozent im Zeitraum vom 1. Januar 2016 bis 31. Dezember 2016 und</w:t>
      </w:r>
    </w:p>
    <w:p>
      <w:pPr>
        <w:ind w:left="420"/>
      </w:pPr>
      <w:r>
        <w:t xml:space="preserve">4. 20 Prozent im Zeitraum vom 1. Januar 2017 bis 31. Dezember 2017.</w:t>
      </w:r>
    </w:p>
    <w:p>
      <w:r>
        <w:rPr>
          <w:color w:val="555555"/>
          <w:sz w:val="17"/>
        </w:rPr>
        <w:t xml:space="preserve">Zitiervorschlag: § 29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