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SolvV 2014 — Faktoren für die Anerkennung von Minderheitsbeteiligungen und qualifiziertem zusätzlichem Kernkapital sowie Ergänzungskapital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Abweichend von Artikel 84 Absatz 1 Buchstabe b, Artikel 85 Absatz 1 Buchstabe b und Artikel 87 Absatz 1 Buchstabe b der Verordnung (EU) Nr. 575/2013 sind die dort genannten Prozentsätze im Zeitraum vom 1. Januar 2014 bis 31. Dezember 2017 mit folgenden Faktoren zu multiplizieren:</w:t>
      </w:r>
    </w:p>
    <w:p>
      <w:pPr>
        <w:ind w:left="420"/>
      </w:pPr>
      <w:r>
        <w:t xml:space="preserve">1. dem Faktor 0,2 im Zeitraum vom 1. Januar 2014 bis 31. Dezember 2014;</w:t>
      </w:r>
    </w:p>
    <w:p>
      <w:pPr>
        <w:ind w:left="420"/>
      </w:pPr>
      <w:r>
        <w:t xml:space="preserve">2. dem Faktor 0,4 im Zeitraum vom 1. Januar 2015 bis 31. Dezember 2015;</w:t>
      </w:r>
    </w:p>
    <w:p>
      <w:pPr>
        <w:ind w:left="420"/>
      </w:pPr>
      <w:r>
        <w:t xml:space="preserve">3. dem Faktor 0,6 im Zeitraum vom 1. Januar 2016 bis 31. Dezember 2016;</w:t>
      </w:r>
    </w:p>
    <w:p>
      <w:pPr>
        <w:ind w:left="420"/>
      </w:pPr>
      <w:r>
        <w:t xml:space="preserve">4. dem Faktor 0,8 im Zeitraum vom 1. Januar 2017 bis 31. Dezember 2017.</w:t>
      </w:r>
    </w:p>
    <w:p>
      <w:r>
        <w:rPr>
          <w:color w:val="555555"/>
          <w:sz w:val="17"/>
        </w:rPr>
        <w:t xml:space="preserve">Zitiervorschlag: § 28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