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SolvV 2014 — Prozentsätze für die Anerkennung von nicht als Minderheitenbeteiligungen geltenden Instrumenten und Positionen im konsolidierten harten Kernkapital</w:t>
      </w:r>
    </w:p>
    <w:p>
      <w:r>
        <w:rPr>
          <w:color w:val="555555"/>
          <w:sz w:val="18"/>
        </w:rPr>
        <w:t xml:space="preserve">Solvabilitätsverordnung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Abweichend von Teil 2 Titel III der Verordnung (EU) Nr. 575/2013 können Instrumente und Posten, die nach § 10a Absatz 6 Satz 1 und 2 und Absatz 7 Satz 1 des Kreditwesengesetzes in der bis zum 31. Dezember 2013 geltenden Fassung zu den konsolidierten Rücklagen gerechnet worden wären und aus einem der in Artikel 479 Absatz 1 Buchstabe a bis d der Verordnung (EU) Nr. 575/2013 aufgeführten Gründe nicht länger als konsolidiertes hartes Kernkapital anerkennungsfähig sind, zu den folgenden Prozentsätzen weiterhin zum konsolidierten harten Kernkapital gerechnet werden:</w:t>
      </w:r>
    </w:p>
    <w:p>
      <w:pPr>
        <w:ind w:left="420"/>
      </w:pPr>
      <w:r>
        <w:t xml:space="preserve">1. 80 Prozent im Zeitraum vom 1. Januar 2014 bis 31. Dezember 2014;</w:t>
      </w:r>
    </w:p>
    <w:p>
      <w:pPr>
        <w:ind w:left="420"/>
      </w:pPr>
      <w:r>
        <w:t xml:space="preserve">2. 60 Prozent im Zeitraum vom 1. Januar 2015 bis 31. Dezember 2015;</w:t>
      </w:r>
    </w:p>
    <w:p>
      <w:pPr>
        <w:ind w:left="420"/>
      </w:pPr>
      <w:r>
        <w:t xml:space="preserve">3. 40 Prozent im Zeitraum vom 1. Januar 2016 bis 31. Dezember 2016;</w:t>
      </w:r>
    </w:p>
    <w:p>
      <w:pPr>
        <w:ind w:left="420"/>
      </w:pPr>
      <w:r>
        <w:t xml:space="preserve">4. 20 Prozent im Zeitraum vom 1. Januar 2017 bis 31. Dezember 2017.</w:t>
      </w:r>
    </w:p>
    <w:p>
      <w:r>
        <w:t xml:space="preserve">(2) Abweichend von Absatz 1 dürfen Instrumente und Posten, die nach § 10a Absatz 6 Satz 10 des Kreditwesengesetzes in der bis zum 31. Dezember 2013 geltenden Fassung zu den konsolidierten Rücklagen gerechnet worden wären und aus einem der in Artikel 479 Absatz 1 Buchstabe a bis d der Verordnung (EU) Nr. 575/2013 aufgeführten Gründe nicht länger als konsolidiertes hartes Kernkapital anerkennungsfähig sind, bei der Anwendung der Regelungen von Teil 2 Titel III der Verordnung (EU) Nr. 575/2013 im Zeitraum vom 1. Januar 2014 bis 31. Dezember 2017 nicht mehr zum konsolidierten harten Kernkapital gerechnet werden.</w:t>
      </w:r>
    </w:p>
    <w:p>
      <w:r>
        <w:rPr>
          <w:color w:val="555555"/>
          <w:sz w:val="17"/>
        </w:rPr>
        <w:t xml:space="preserve">Zitiervorschlag: § 27 SolvV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https://recht.nulegal.eu/gesetze/SolvV%202014/27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