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SolvV 2014 — Prozentsätze für die Abzüge vom harten Kernkapital, zusätzlichen Kernkapital und Ergänzungskapital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Für die Zwecke der Übergangsvorschriften nach Artikel 469 Absatz 1 Buchstabe a und c, Artikel 474 Buchstabe a und Artikel 476 Buchstabe a der Verordnung (EU) Nr. 575/2013 gelten die folgenden Prozentsätze:</w:t>
      </w:r>
    </w:p>
    <w:p>
      <w:pPr>
        <w:ind w:left="420"/>
      </w:pPr>
      <w:r>
        <w:t xml:space="preserve">1. 20 Prozent im Zeitraum vom 1. Januar 2014 bis 31. Dezember 2014;</w:t>
      </w:r>
    </w:p>
    <w:p>
      <w:pPr>
        <w:ind w:left="420"/>
      </w:pPr>
      <w:r>
        <w:t xml:space="preserve">2. 40 Prozent im Zeitraum vom 1. Januar 2015 bis 31. Dezember 2015;</w:t>
      </w:r>
    </w:p>
    <w:p>
      <w:pPr>
        <w:ind w:left="420"/>
      </w:pPr>
      <w:r>
        <w:t xml:space="preserve">3. 60 Prozent im Zeitraum vom 1. Januar 2016 bis 31. Dezember 2016 und</w:t>
      </w:r>
    </w:p>
    <w:p>
      <w:pPr>
        <w:ind w:left="420"/>
      </w:pPr>
      <w:r>
        <w:t xml:space="preserve">4. 80 Prozent im Zeitraum vom 1. Januar 2017 bis 31. Dezember 2017.</w:t>
      </w:r>
    </w:p>
    <w:p>
      <w:r>
        <w:t xml:space="preserve">(2) Die in Absatz 1 genannten Prozentsätze gelten im jeweiligen Zeitraum entsprechend für</w:t>
      </w:r>
    </w:p>
    <w:p>
      <w:pPr>
        <w:ind w:left="420"/>
      </w:pPr>
      <w:r>
        <w:t xml:space="preserve">1. die Abzüge nach Artikel 36 Absatz 1 Buchstabe a bis h der Verordnung (EU) Nr. 575/2013 mit Ausnahme des Abzugs latenter Steuern, die von der künftigen Rentabilität abhängig sind und aus zeitlichen Differenzen resultieren,</w:t>
      </w:r>
    </w:p>
    <w:p>
      <w:pPr>
        <w:ind w:left="420"/>
      </w:pPr>
      <w:r>
        <w:t xml:space="preserve">2. den nach Artikel 48 der Verordnung (EU) Nr. 575/2013 vorgeschriebenen Abzug des aggregierten Betrags latenter Steuern, die von der künftigen Rentabilität abhängig sind und aus zeitlichen Differenzen resultieren,</w:t>
      </w:r>
    </w:p>
    <w:p>
      <w:pPr>
        <w:ind w:left="420"/>
      </w:pPr>
      <w:r>
        <w:t xml:space="preserve">3. den nach Artikel 48 der Verordnung (EU) Nr. 575/2013 vorgeschriebenen Abzug der Posten nach Artikel 36 Absatz 1 Buchstabe i der Verordnung (EU) Nr. 575/2013,</w:t>
      </w:r>
    </w:p>
    <w:p>
      <w:pPr>
        <w:ind w:left="420"/>
      </w:pPr>
      <w:r>
        <w:t xml:space="preserve">4. jeden vorgeschriebenen Abzug nach Artikel 56 Buchstabe b bis d der Verordnung (EU) Nr. 575/2013 und</w:t>
      </w:r>
    </w:p>
    <w:p>
      <w:pPr>
        <w:ind w:left="420"/>
      </w:pPr>
      <w:r>
        <w:t xml:space="preserve">5. jeden vorgeschriebenen Abzug nach Artikel 66 Buchstabe b bis d der Verordnung (EU) Nr. 575/2013.</w:t>
      </w:r>
    </w:p>
    <w:p>
      <w:r>
        <w:t xml:space="preserve">(3) Abweichend von den in Absatz 1 genannten Prozentsätzen gelten für die in Artikel 36 Absatz 1 Buchstabe c der Verordnung (EU) Nr. 575/2013 genannten Posten, die vor dem 1. Januar 2014 bestanden, für die Zwecke des Artikels 469 Absatz 1 Buchstabe c der Verordnung (EU) Nr. 575/2013 folgende Prozentsätze:</w:t>
      </w:r>
    </w:p>
    <w:p>
      <w:pPr>
        <w:ind w:left="420"/>
      </w:pPr>
      <w:r>
        <w:t xml:space="preserve">1. 0 Prozent im Zeitraum vom 1. Januar 2014 bis 31. Dezember 2014;</w:t>
      </w:r>
    </w:p>
    <w:p>
      <w:pPr>
        <w:ind w:left="420"/>
      </w:pPr>
      <w:r>
        <w:t xml:space="preserve">2. 10 Prozent im Zeitraum vom 1. Januar 2015 bis 31. Dezember 2015;</w:t>
      </w:r>
    </w:p>
    <w:p>
      <w:pPr>
        <w:ind w:left="420"/>
      </w:pPr>
      <w:r>
        <w:t xml:space="preserve">3. 20 Prozent im Zeitraum vom 1. Januar 2016 bis 31. Dezember 2016;</w:t>
      </w:r>
    </w:p>
    <w:p>
      <w:pPr>
        <w:ind w:left="420"/>
      </w:pPr>
      <w:r>
        <w:t xml:space="preserve">4. 30 Prozent im Zeitraum vom 1. Januar 2017 bis 31. Dezember 2017;</w:t>
      </w:r>
    </w:p>
    <w:p>
      <w:pPr>
        <w:ind w:left="420"/>
      </w:pPr>
      <w:r>
        <w:t xml:space="preserve">5. 40 Prozent im Zeitraum vom 1. Januar 2018 bis 31. Dezember 2018;</w:t>
      </w:r>
    </w:p>
    <w:p>
      <w:pPr>
        <w:ind w:left="420"/>
      </w:pPr>
      <w:r>
        <w:t xml:space="preserve">6. 50 Prozent im Zeitraum vom 1. Januar 2019 bis 31. Dezember 2019;</w:t>
      </w:r>
    </w:p>
    <w:p>
      <w:pPr>
        <w:ind w:left="420"/>
      </w:pPr>
      <w:r>
        <w:t xml:space="preserve">7. 60 Prozent im Zeitraum vom 1. Januar 2020 bis 31. Dezember 2020;</w:t>
      </w:r>
    </w:p>
    <w:p>
      <w:pPr>
        <w:ind w:left="420"/>
      </w:pPr>
      <w:r>
        <w:t xml:space="preserve">8. 70 Prozent im Zeitraum vom 1. Januar 2021 bis 31. Dezember 2021;</w:t>
      </w:r>
    </w:p>
    <w:p>
      <w:pPr>
        <w:ind w:left="420"/>
      </w:pPr>
      <w:r>
        <w:t xml:space="preserve">9. 80 Prozent im Zeitraum vom 1. Januar 2022 bis 31. Dezember 2022;</w:t>
      </w:r>
    </w:p>
    <w:p>
      <w:pPr>
        <w:ind w:left="420"/>
      </w:pPr>
      <w:r>
        <w:t xml:space="preserve">10. 90 Prozent im Zeitraum vom 1. Januar 2023 bis 31. Dezember 2023.</w:t>
      </w:r>
    </w:p>
    <w:p>
      <w:r>
        <w:rPr>
          <w:color w:val="555555"/>
          <w:sz w:val="17"/>
        </w:rPr>
        <w:t xml:space="preserve">Zitiervorschlag: § 26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