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SolvV 2014 — Interne-Modelle-Eignungsbeurteilung</w:t>
      </w:r>
    </w:p>
    <w:p>
      <w:r>
        <w:rPr>
          <w:color w:val="555555"/>
          <w:sz w:val="18"/>
        </w:rPr>
        <w:t xml:space="preserve">Solvabilitätsverordnung</w:t>
      </w:r>
    </w:p>
    <w:p>
      <w:r>
        <w:rPr>
          <w:color w:val="555555"/>
          <w:sz w:val="18"/>
        </w:rPr>
        <w:t xml:space="preserve">Stand: 01.04.2026 (konsolidierte Textfassung, kein amtliches Inkrafttretensdatum)</w:t>
      </w:r>
    </w:p>
    <w:p>
      <w:r>
        <w:t xml:space="preserve">(1) Die zuständige Behörde entscheidet über die nach Artikel 325az Absatz 2 der Verordnung (EU) Nr. 575/2013 erforderliche Erlaubnis zur Anwendung des alternativen auf einem internen Modell beruhenden Ansatzes (Interne-Modelle-Eignungsbeurteilung) auf der Grundlage des Ergebnisses eines Auskunftsverlangens nach § 44 Absatz 1 Satz 1 des Kreditwesengesetzes oder auf der Grundlage einer Prüfung nach § 44 Absatz 1 Satz 3 des Kreditwesengesetzes. Für wesentliche Änderungen und Erweiterungen gilt Satz 1 entsprechend.</w:t>
      </w:r>
    </w:p>
    <w:p>
      <w:r>
        <w:t xml:space="preserve">(2) Ein Institut, das nach erteilter Erlaubnis der zuständigen Behörde den alternativen auf einem internen Modell beruhenden Ansatz nach Artikel 325az Absatz 1 der Verordnung (EU) Nr. 575/2013 verwendet, darf die Eigenmittelanforderungen für die Risikopositionen im Anwendungsbereich dieses Ansatzes nur bei Vorliegen wesentlicher Gründe und nur nach erneuter Erlaubnis der zuständigen Behörde nach den Artikeln 325c bis 325ay oder den Artikeln 326 bis 361 der Verordnung (EU) Nr. 575/2013 ermitteln. Die Erlaubnis ist vom Institut unter Angabe der Gründe bei der zuständigen Behörde zu beantragen.</w:t>
      </w:r>
    </w:p>
    <w:p>
      <w:r>
        <w:rPr>
          <w:color w:val="555555"/>
          <w:sz w:val="17"/>
        </w:rPr>
        <w:t xml:space="preserve">Zitiervorschlag: § 21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