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SolvV 2014 — Interne Modelle für Netting-Rahmenvereinbarungen</w:t>
      </w:r>
    </w:p>
    <w:p>
      <w:r>
        <w:rPr>
          <w:color w:val="555555"/>
          <w:sz w:val="18"/>
        </w:rPr>
        <w:t xml:space="preserve">Solvabilitätsverordnung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Die zuständige Behörde entscheidet über die nach Artikel 221 Absatz 1 und 2 der Verordnung (EU) Nr. 575/2013 erforderliche Erlaubnis zur Verwendung eines internen Modells für Netting-Rahmenvereinbarungen (Eignungsbeurteilung für ein internes Modell für Netting-Rahmenvereinbarungen) auf der Grundlage des Ergebnisses eines Auskunftsverlangens nach § 44 Absatz 1 Satz 1 des Kreditwesengesetzes oder auf der Grundlage einer Prüfung nach § 44 Absatz 1 Satz 3 des Kreditwesengesetzes.</w:t>
      </w:r>
    </w:p>
    <w:p>
      <w:r>
        <w:t xml:space="preserve">(2) Wesentliche Änderungen und Erweiterungen eines internen Modells für Netting-Rahmenvereinbarungen bedürfen einer erneuten Erlaubnis. Absatz 1 gilt entsprechend. Jede anderweitige Änderung oder Erweiterung ist der zuständigen Behörde schriftlich anzuzeigen.</w:t>
      </w:r>
    </w:p>
    <w:p>
      <w:r>
        <w:t xml:space="preserve">(3) Ein Institut, das nach erteilter Erlaubnis ein internes Modell für Netting-Rahmenvereinbarungen verwendet, darf den vollständig angepassten Risikopositionswert (E*) der Netting-Rahmenvereinbarung im Anwendungsbereich dieses internen Modells nur bei Vorliegen wesentlicher Gründe und nur nach erneuter Erlaubnis der zuständigen Behörde nach Artikel 220 der Verordnung (EU) Nr. 575/2013 ermitteln. Die Erlaubnis ist vom Institut unter Angabe der Gründe bei der zuständigen Behörde zu beantragen.</w:t>
      </w:r>
    </w:p>
    <w:p>
      <w:r>
        <w:rPr>
          <w:color w:val="555555"/>
          <w:sz w:val="17"/>
        </w:rPr>
        <w:t xml:space="preserve">Zitiervorschlag: § 20 SolvV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https://recht.nulegal.eu/gesetze/SolvV%202014/20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