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SolvV 2014 — Anträge und Anzeigen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Anträge, über die nach der Verordnung (EU) Nr. 575/2013 die Bundesanstalt für Finanzdienstleistungsaufsicht (Bundesanstalt) als zuständige Behörde zu entscheiden hat, sind vorbehaltlich abweichender Bestimmungen in schriftlicher Form bei der Bundesanstalt zu stellen.</w:t>
      </w:r>
    </w:p>
    <w:p>
      <w:r>
        <w:t xml:space="preserve">(2) Anzeigen nach der Verordnung (EU) Nr. 575/2013, für die die Bundesanstalt die zuständige Behörde ist, sind bei der Bundesanstalt und in Kopie bei der Deutschen Bundesbank einzureichen.</w:t>
      </w:r>
    </w:p>
    <w:p>
      <w:r>
        <w:t xml:space="preserve">(3) Meldungen, die aufgrund regelmäßiger Berichtspflichten nach der Verordnung (EU) Nr. 575/2013 gegenüber der Bundesanstalt als zuständige Behörde erfolgen müssen, sind über die Deutsche Bundesbank einzureichen.</w:t>
      </w:r>
    </w:p>
    <w:p>
      <w:r>
        <w:rPr>
          <w:color w:val="555555"/>
          <w:sz w:val="17"/>
        </w:rPr>
        <w:t xml:space="preserve">Zitiervorschlag: § 2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