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SolvV 2014 — IMM-Eignungsbeurteilung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zuständige Behörde entscheidet über die nach Artikel 283 Absatz 1 der Verordnung (EU) Nr. 575/2013 erforderliche Erlaubnis zur Verwendung der auf einem internen Modell beruhenden Methode (IMM-Eignungsbeurteilung) auf der Grundlage des Ergebnisses eines Auskunftsverlangens nach § 44 Absatz 1 Satz 1 des Kreditwesengesetzes oder auch einer Prüfung nach § 44 Absatz 1 Satz 3 des Kreditwesengesetzes.</w:t>
      </w:r>
    </w:p>
    <w:p>
      <w:r>
        <w:t xml:space="preserve">(2) Wesentliche Änderungen und Erweiterungen der auf einem internen Modell beruhenden Methode (IMM) bedürfen einer erneuten Erlaubnis. Absatz 1 gilt entsprechend. Jede anderweitige Änderung oder Erweiterung ist der zuständigen Behörde schriftlich anzuzeigen.</w:t>
      </w:r>
    </w:p>
    <w:p>
      <w:r>
        <w:rPr>
          <w:color w:val="555555"/>
          <w:sz w:val="17"/>
        </w:rPr>
        <w:t xml:space="preserve">Zitiervorschlag: § 18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