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SolvV 2014 — Anwendungsbereich</w:t>
      </w:r>
    </w:p>
    <w:p>
      <w:r>
        <w:rPr>
          <w:color w:val="555555"/>
          <w:sz w:val="18"/>
        </w:rPr>
        <w:t xml:space="preserve">Solvabilitätsverordnung</w:t>
      </w:r>
    </w:p>
    <w:p>
      <w:r>
        <w:rPr>
          <w:color w:val="555555"/>
          <w:sz w:val="18"/>
        </w:rPr>
        <w:t xml:space="preserve">Stand: 01.04.2026 (konsolidierte Textfassung, kein amtliches Inkrafttretensdatum)</w:t>
      </w:r>
    </w:p>
    <w:p>
      <w:r>
        <w:t xml:space="preserve">(1) Die §§ 3 bis 7, 18 und 19 sowie 21 bis 22 dieser Verordnung sind ergänzend zu den Artikeln 92 bis 386 der Verordnung (EU) Nr. 575/2013 von denjenigen Instituten und Gruppen anzuwenden, die sich nach der Verordnung (EU) Nr. 575/2013 oder nach dem Kreditwesengesetz an die Vorgaben dieser Artikel halten müssen.</w:t>
      </w:r>
    </w:p>
    <w:p>
      <w:r>
        <w:t xml:space="preserve">(1a) § 16 ist ergänzend zu Artikel 178 Absatz 1 Buchstabe b der Verordnung (EU) Nr. 575/2013 von denjenigen Instituten und Gruppen anzuwenden, die sich nach der Verordnung (EU) Nr. 575/2013 oder nach dem Kreditwesengesetz an die Vorgaben dieser Artikel halten müssen, die aber keine Kreditinstitute sind, die nach Artikel 6 Absatz 4 der Verordnung (EU) Nr. 1024/2013 in der Fassung vom 15. Oktober 2013 sowie nach Teil IV und Artikel 147 Absatz 1 der Verordnung (EU) Nr. 468/2014 in der Fassung vom 16. April 2014 als bedeutend eingestuft werden.</w:t>
      </w:r>
    </w:p>
    <w:p>
      <w:r>
        <w:t xml:space="preserve">(2) Die §§ 26 bis 31 dieser Verordnung sind ergänzend zu den Artikeln 25 bis 91 der Verordnung (EU) Nr. 575/2013 von denjenigen Instituten und Gruppen anzuwenden, die sich nach der Verordnung (EU) Nr. 575/2013 oder nach dem Kreditwesengesetz an die Vorgaben dieser Artikel halten müssen. Dies gilt nicht für Kreditinstitute, die nach Artikel 6 Absatz 4 der Verordnung (EU) Nr. 1024/2013 in der Fassung vom 15. Oktober 2013 sowie nach Teil IV und Artikel 147 Absatz 1 der Verordnung (EU) Nr. 468/2014 in der Fassung vom 16. April 2014 als bedeutend eingestuft werden.</w:t>
      </w:r>
    </w:p>
    <w:p>
      <w:r>
        <w:t xml:space="preserve">(3) § 32 dieser Verordnung ist ergänzend zu den Artikeln 11 bis 91 der Verordnung (EU) Nr. 575/2013 von denjenigen Instituten und Gruppen anzuwenden, die sich nach der Verordnung (EU) Nr. 575/2013 oder nach dem Kreditwesengesetz an die Vorgaben dieser Artikel halten müssen.</w:t>
      </w:r>
    </w:p>
    <w:p>
      <w:r>
        <w:t xml:space="preserve">(4) Die §§ 33 bis 37 dieser Verordnung sind ergänzend zu den §§ 10c bis 10i des Kreditwesengesetzes von denjenigen Instituten und Gruppen anzuwenden, die sich an die Vorgaben dieser Vorschriften halten müssen.</w:t>
      </w:r>
    </w:p>
    <w:p>
      <w:r>
        <w:rPr>
          <w:color w:val="555555"/>
          <w:sz w:val="17"/>
        </w:rPr>
        <w:t xml:space="preserve">Zitiervorschlag: § 1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