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SolingenV — Außerkrafttreten</w:t>
      </w:r>
    </w:p>
    <w:p>
      <w:r>
        <w:rPr>
          <w:color w:val="555555"/>
          <w:sz w:val="18"/>
        </w:rPr>
        <w:t xml:space="preserve">Solingenverordnung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Diese Verordnung tritt an dem Tag außer Kraft, an dem das Amt der Europäischen Union für geistiges Eigentum auf der Grundlage eines gemäß Artikel 70 Absatz 2 der Verordnung (EU) 2023/2411 gestellten Antrags die hiernach geschützte Angabe in das Unionsregister nach der Verordnung (EU) 2023/2411 einträgt oder über den Antrag anderweitig abschließend entscheidet. Das Bundesministerium der Justiz und für Verbraucherschutz gibt den Tag des Außerkrafttretens im Bundesgesetzblatt bekannt.</w:t>
      </w:r>
    </w:p>
    <w:p>
      <w:r>
        <w:rPr>
          <w:color w:val="555555"/>
          <w:sz w:val="17"/>
        </w:rPr>
        <w:t xml:space="preserve">Zitiervorschlag: § 4 SolingenV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https://recht.nulegal.eu/gesetze/SolingenV/4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