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SolingenV — Grundsatz</w:t>
      </w:r>
    </w:p>
    <w:p>
      <w:r>
        <w:rPr>
          <w:color w:val="555555"/>
          <w:sz w:val="18"/>
        </w:rPr>
        <w:t xml:space="preserve">Solingenverordnung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Name Solingen darf im geschäftlichen Verkehr nur für solche Schneidwaren benutzt werden, die</w:t>
      </w:r>
    </w:p>
    <w:p>
      <w:pPr>
        <w:ind w:left="420"/>
      </w:pPr>
      <w:r>
        <w:t xml:space="preserve">1. in allen wesentlichen Herstellungsstufen innerhalb des Solinger Industriegebiets bearbeitet und fertiggestellt worden sind und</w:t>
      </w:r>
    </w:p>
    <w:p>
      <w:pPr>
        <w:ind w:left="420"/>
      </w:pPr>
      <w:r>
        <w:t xml:space="preserve">2. nach Rohstoff und Bearbeitung geeignet sind, ihren arteigenen Verwendungszweck zu erfüllen.</w:t>
      </w:r>
    </w:p>
    <w:p>
      <w:r>
        <w:rPr>
          <w:color w:val="555555"/>
          <w:sz w:val="17"/>
        </w:rPr>
        <w:t xml:space="preserve">Zitiervorschlag: § 1 SolingenV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https://recht.nulegal.eu/gesetze/SolingenV/1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