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SoldUrlV — Urlaub nach dem Eignungsübungsgesetz</w:t>
      </w:r>
    </w:p>
    <w:p>
      <w:r>
        <w:rPr>
          <w:color w:val="555555"/>
          <w:sz w:val="18"/>
        </w:rPr>
        <w:t xml:space="preserve">Soldatinnen- und Soldatenurlaubsverordnung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 und 4 der Verordnung zum Eignungsübungsgesetz vom 15. Februar 1956 (BGBl. I S. 71), zuletzt geändert am 10. Mai 1971 (BGBl. I S. 450), bleiben unberührt. Der nach diesen Vorschriften gewährte Urlaub aus dem früheren Arbeits- oder Dienstverhältnis wird auf einen Erholungsurlaub, der für den gleichen Zeitraum zusteht, angerechnet.</w:t>
      </w:r>
    </w:p>
    <w:p>
      <w:r>
        <w:rPr>
          <w:color w:val="555555"/>
          <w:sz w:val="17"/>
        </w:rPr>
        <w:t xml:space="preserve">Zitiervorschlag: § 15 SoldUrlV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https://recht.nulegal.eu/gesetze/SoldUrlV/15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