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SoldRehaHomG — Rechtsweg</w:t>
      </w:r>
    </w:p>
    <w:p>
      <w:r>
        <w:rPr>
          <w:color w:val="555555"/>
          <w:sz w:val="18"/>
        </w:rPr>
        <w:t xml:space="preserve">Gesetz zur Rehabilitierung der wegen einvernehmlicher homosexueller Handlungen, wegen ihrer homosexuellen Orientierung oder wegen ihrer geschlechtlichen Identität dienstrechtlich benachteiligten Soldatinnen und Soldaten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Für Streitigkeiten nach diesem Gesetz ist der Verwaltungsrechtsweg gegeben.</w:t>
      </w:r>
    </w:p>
    <w:p>
      <w:r>
        <w:rPr>
          <w:color w:val="555555"/>
          <w:sz w:val="17"/>
        </w:rPr>
        <w:t xml:space="preserve">Zitiervorschlag: § 4 SoldRehaHomG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https://recht.nulegal.eu/gesetze/SoldRehaHomG/4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