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SoldRehaHomG — Verfahren; Rehabilitierungsbescheinigung</w:t>
      </w:r>
    </w:p>
    <w:p>
      <w:r>
        <w:rPr>
          <w:color w:val="555555"/>
          <w:sz w:val="18"/>
        </w:rPr>
        <w:t xml:space="preserve">Gesetz zur Rehabilitierung der wegen einvernehmlicher homosexueller Handlungen, wegen ihrer homosexuellen Orientierung oder wegen ihrer geschlechtlichen Identität dienstrechtlich benachteiligten Soldatinnen und Soldaten</w:t>
      </w:r>
    </w:p>
    <w:p>
      <w:r>
        <w:rPr>
          <w:color w:val="555555"/>
          <w:sz w:val="18"/>
        </w:rPr>
        <w:t xml:space="preserve">Stand: 23.07.2021 (konsolidierte Textfassung, kein amtliches Inkrafttretensdatum)</w:t>
      </w:r>
    </w:p>
    <w:p>
      <w:r>
        <w:t xml:space="preserve">(1) Das Bundesministerium der Verteidigung stellt auf Antrag fest, ob ein Urteil nach § 1 Absatz 1 aufgehoben worden ist oder ob eine Benachteiligung nach § 1 Absatz 2 vorliegt. Über die Feststellungen nach Satz 1 wird eine Rehabilitierungsbescheinigung erteilt.</w:t>
      </w:r>
    </w:p>
    <w:p>
      <w:r>
        <w:t xml:space="preserve">(2) Für die Feststellung nach Absatz 1 Satz 1 genügt die Glaubhaftmachung einer Verurteilung nach § 1 Absatz 1 oder einer anderen dienstrechtlichen Benachteiligung nach § 1 Absatz 2. Insbesondere kann die Abgabe einer Versicherung an Eides statt verlangt werden. Für die Abnahme einer Versicherung an Eides statt ist das Bundesministerium der Verteidigung zuständig.</w:t>
      </w:r>
    </w:p>
    <w:p>
      <w:r>
        <w:t xml:space="preserve">(3) Wer auf Grund eines Urteils nach § 1 Absatz 1 oder kraft Gesetzes infolge einer Benachteiligung nach § 1 Absatz 2 seinen Dienstgrad in der Bundeswehr verloren hat, erhält auf Antrag die Erlaubnis, diesen wieder zu führen.</w:t>
      </w:r>
    </w:p>
    <w:p>
      <w:r>
        <w:t xml:space="preserve">(4) Antragsberechtigt sind</w:t>
      </w:r>
    </w:p>
    <w:p>
      <w:pPr>
        <w:ind w:left="420"/>
      </w:pPr>
      <w:r>
        <w:t xml:space="preserve">1. die betroffene Person,</w:t>
      </w:r>
    </w:p>
    <w:p>
      <w:pPr>
        <w:ind w:left="420"/>
      </w:pPr>
      <w:r>
        <w:t xml:space="preserve">2. nach dem Tod der betroffenen Person folgende Angehörige:</w:t>
      </w:r>
    </w:p>
    <w:p>
      <w:pPr>
        <w:ind w:left="780"/>
      </w:pPr>
      <w:r>
        <w:t xml:space="preserve">a) die Ehegattin oder der Ehegatte,</w:t>
      </w:r>
    </w:p>
    <w:p>
      <w:pPr>
        <w:ind w:left="780"/>
      </w:pPr>
      <w:r>
        <w:t xml:space="preserve">b) die oder der Verlobte,</w:t>
      </w:r>
    </w:p>
    <w:p>
      <w:pPr>
        <w:ind w:left="780"/>
      </w:pPr>
      <w:r>
        <w:t xml:space="preserve">c) die Eltern,</w:t>
      </w:r>
    </w:p>
    <w:p>
      <w:pPr>
        <w:ind w:left="780"/>
      </w:pPr>
      <w:r>
        <w:t xml:space="preserve">d) die Kinder und</w:t>
      </w:r>
    </w:p>
    <w:p>
      <w:pPr>
        <w:ind w:left="780"/>
      </w:pPr>
      <w:r>
        <w:t xml:space="preserve">e) die Geschwister.</w:t>
      </w:r>
    </w:p>
    <w:p>
      <w:r>
        <w:t xml:space="preserve">Satz 1 Nummer 2 gilt nicht für den Antrag nach Absatz 3.</w:t>
      </w:r>
    </w:p>
    <w:p>
      <w:r>
        <w:t xml:space="preserve">(5) Für das Verfahren werden keine Gebühren und Auslagen erhoben.</w:t>
      </w:r>
    </w:p>
    <w:p>
      <w:r>
        <w:rPr>
          <w:color w:val="555555"/>
          <w:sz w:val="17"/>
        </w:rPr>
        <w:t xml:space="preserve">Zitiervorschlag: § 2 SoldRehaHomG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https://recht.nulegal.eu/gesetze/SoldRehaHomG/2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