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SoldGG — Zulässige unterschiedliche Behandlung wegen beruflicher Anforderungen</w:t>
      </w:r>
    </w:p>
    <w:p>
      <w:r>
        <w:rPr>
          <w:color w:val="555555"/>
          <w:sz w:val="18"/>
        </w:rPr>
        <w:t xml:space="preserve">Soldatinnen- und Soldaten-Gleichbehandlungsgesetz</w:t>
      </w:r>
    </w:p>
    <w:p>
      <w:r>
        <w:rPr>
          <w:color w:val="555555"/>
          <w:sz w:val="18"/>
        </w:rPr>
        <w:t xml:space="preserve">Stand: 10.06.2019 (konsolidierte Textfassung, kein amtliches Inkrafttretensdatum)</w:t>
      </w:r>
    </w:p>
    <w:p>
      <w:r>
        <w:t xml:space="preserve">Eine unterschiedliche Behandlung wegen eines in § 1 Abs. 1 genannten Grundes ist zulässig, wenn dieser Grund wegen der Art der dienstlichen Tätigkeit oder der Bedingungen ihrer Ausübung eine wesentliche und entscheidende berufliche Anforderung darstellt, sofern der Zweck rechtmäßig und die Anforderung angemessen ist.</w:t>
      </w:r>
    </w:p>
    <w:p>
      <w:r>
        <w:rPr>
          <w:color w:val="555555"/>
          <w:sz w:val="17"/>
        </w:rPr>
        <w:t xml:space="preserve">Zitiervorschlag: § 8 SoldGG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