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SoldGG — Benachteiligungsverbot</w:t>
      </w:r>
    </w:p>
    <w:p>
      <w:r>
        <w:rPr>
          <w:color w:val="555555"/>
          <w:sz w:val="18"/>
        </w:rPr>
        <w:t xml:space="preserve">Soldatinnen- und Soldaten-Gleichbehandlungsgesetz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§ 6 genannten Personen dürfen nicht wegen eines in § 1 Abs. 1 genannten Grundes benachteiligt werden. Dies gilt auch, wenn die Soldatin oder der Soldat, die oder der die Benachteiligung begeht, das Vorliegen eines in § 1 Abs. 1 genannten Grundes bei der Benachteiligung nur annimmt.</w:t>
      </w:r>
    </w:p>
    <w:p>
      <w:r>
        <w:t xml:space="preserve">(2) Jede Belästigung, sexuelle Belästigung und Anweisung zu einer solchen Handlungsweise ist eine Verletzung dienstlicher Pflichten und Soldatinnen und Soldaten untersagt.</w:t>
      </w:r>
    </w:p>
    <w:p>
      <w:r>
        <w:rPr>
          <w:color w:val="555555"/>
          <w:sz w:val="17"/>
        </w:rPr>
        <w:t xml:space="preserve">Zitiervorschlag: § 7 SoldGG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https://recht.nulegal.eu/gesetze/SoldGG/7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