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SoldGG — Persönlicher Anwendungsbereich</w:t>
      </w:r>
    </w:p>
    <w:p>
      <w:r>
        <w:rPr>
          <w:color w:val="555555"/>
          <w:sz w:val="18"/>
        </w:rPr>
        <w:t xml:space="preserve">Soldatinnen- und Soldaten-Gleichbehandlungsgesetz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dient dem Schutz von</w:t>
      </w:r>
    </w:p>
    <w:p>
      <w:pPr>
        <w:ind w:left="420"/>
      </w:pPr>
      <w:r>
        <w:t xml:space="preserve">1. Soldatinnen und Soldaten,</w:t>
      </w:r>
    </w:p>
    <w:p>
      <w:pPr>
        <w:ind w:left="420"/>
      </w:pPr>
      <w:r>
        <w:t xml:space="preserve">2. Personen, die zu einer Einberufung zum Wehrdienst nach Maßgabe des Wehrpflichtgesetzes heranstehen oder die sich um die Begründung eines Wehrdienstverhältnisses auf Grund freiwilliger Verpflichtung bewerben.</w:t>
      </w:r>
    </w:p>
    <w:p>
      <w:r>
        <w:rPr>
          <w:color w:val="555555"/>
          <w:sz w:val="17"/>
        </w:rPr>
        <w:t xml:space="preserve">Zitiervorschlag: § 6 SoldGG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https://recht.nulegal.eu/gesetze/SoldGG/6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