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SoldGG — Anwendungsbereich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findet Anwendung auf</w:t>
      </w:r>
    </w:p>
    <w:p>
      <w:pPr>
        <w:ind w:left="420"/>
      </w:pPr>
      <w:r>
        <w:t xml:space="preserve">1. Maßnahmen bei der Begründung, Ausgestaltung und Beendigung eines Dienstverhältnisses und beim beruflichen Aufstieg sowie auf den Dienstbetrieb; hierzu zählen insbesondere Auswahlkriterien und Einstellungsbedingungen sowie die Ausgestaltung des Dienstes,</w:t>
      </w:r>
    </w:p>
    <w:p>
      <w:pPr>
        <w:ind w:left="420"/>
      </w:pPr>
      <w:r>
        <w:t xml:space="preserve">2. den Zugang zu allen Formen und Ebenen der soldatischen Ausbildung, Fort- und Weiterbildung und beruflicher Förderungsmaßnahmen einschließlich der praktischen Berufserfahrung,</w:t>
      </w:r>
    </w:p>
    <w:p>
      <w:pPr>
        <w:ind w:left="420"/>
      </w:pPr>
      <w:r>
        <w:t xml:space="preserve">3. die Mitgliedschaft und Mitwirkung in einem Berufsverband oder in einer sonstigen Interessenvertretung von Soldatinnen und Soldaten, einschließlich der Inanspruchnahme der Leistungen solcher Organisationen.</w:t>
      </w:r>
    </w:p>
    <w:p>
      <w:r>
        <w:t xml:space="preserve">(2) Die Geltung sonstiger Benachteiligungsverbote oder Gebote der Gleichbehandlung wird durch dieses Gesetz nicht berührt. Dies gilt auch für öffentlich-rechtliche Vorschriften, die dem Schutz bestimmter Personengruppen dienen.</w:t>
      </w:r>
    </w:p>
    <w:p>
      <w:r>
        <w:rPr>
          <w:color w:val="555555"/>
          <w:sz w:val="17"/>
        </w:rPr>
        <w:t xml:space="preserve">Zitiervorschlag: § 2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