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SoldGG — Schwerbehinderte Soldatinnen und Soldaten</w:t>
      </w:r>
    </w:p>
    <w:p>
      <w:r>
        <w:rPr>
          <w:color w:val="555555"/>
          <w:sz w:val="18"/>
        </w:rPr>
        <w:t xml:space="preserve">Soldatinnen- und Soldaten-Gleichbehandlungsgesetz</w:t>
      </w:r>
    </w:p>
    <w:p>
      <w:r>
        <w:rPr>
          <w:color w:val="555555"/>
          <w:sz w:val="18"/>
        </w:rPr>
        <w:t xml:space="preserve">Stand: 10.06.2019 (konsolidierte Textfassung, kein amtliches Inkrafttretensdatum)</w:t>
      </w:r>
    </w:p>
    <w:p>
      <w:r>
        <w:t xml:space="preserve">(1) Schwerbehinderte Soldatinnen und Soldaten dürfen bei einer Maßnahme, insbesondere beim beruflichen Aufstieg oder bei einem Befehl, nicht wegen ihrer Behinderung benachteiligt werden. Eine unterschiedliche Behandlung wegen der Behinderung ist jedoch zulässig, soweit eine Maßnahme die Art der von der schwerbehinderten Soldatin oder dem schwerbehinderten Soldaten auszuübenden Tätigkeit zum Gegenstand hat und eine bestimmte körperliche Funktion, geistige Fähigkeit oder seelische Gesundheit wesentliche und entscheidende berufliche Anforderung für diese Tätigkeit ist. Wenn im Streitfall die schwerbehinderte Soldatin oder der schwerbehinderte Soldat Indizien beweist, die eine Benachteiligung wegen der Behinderung vermuten lassen, trägt der Dienstherr die Beweislast dafür, dass nicht auf die Behinderung bezogene, sachliche Gründe eine unterschiedliche Behandlung rechtfertigen oder eine bestimmte körperliche Funktion, geistige Fähigkeit oder seelische Gesundheit wesentliche und entscheidende berufliche Anforderung für diese Tätigkeit ist.</w:t>
      </w:r>
    </w:p>
    <w:p>
      <w:r>
        <w:t xml:space="preserve">(2) Wird gegen das in Absatz 1 geregelte Benachteiligungsverbot beim beruflichen Aufstieg verstoßen, können hierdurch benachteiligte schwerbehinderte Soldatinnen oder Soldaten eine angemessene Entschädigung in Geld verlangen; ein Anspruch auf den beruflichen Aufstieg besteht nicht. Ein Anspruch auf Entschädigung muss innerhalb von zwei Monaten, nachdem die schwerbehinderte Soldatin oder der schwerbehinderte Soldat von dem Nichtzustandekommen des beruflichen Aufstiegs Kenntnis erhalten hat, geltend gemacht werden.</w:t>
      </w:r>
    </w:p>
    <w:p>
      <w:r>
        <w:rPr>
          <w:color w:val="555555"/>
          <w:sz w:val="17"/>
        </w:rPr>
        <w:t xml:space="preserve">Zitiervorschlag: § 18 SoldGG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https://recht.nulegal.eu/gesetze/SoldGG/18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