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SoldGG — Maßregelungsverbot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Dienstherr darf eine in § 6 genannte Person nicht wegen der Inanspruchnahme von Rechten nach diesem Abschnitt oder wegen der Weigerung, eine gegen diesen Abschnitt verstoßende Weisung auszuführen, benachteiligen. Gleiches gilt für Personen, die eine in § 6 genannte Person hierbei unterstützen oder als Zeuginnen oder Zeugen aussagen.</w:t>
      </w:r>
    </w:p>
    <w:p>
      <w:r>
        <w:t xml:space="preserve">(2) Die Zurückweisung oder Duldung benachteiligender Verhaltensweisen durch betroffene, in § 6 genannte Personen darf nicht als Grundlage für eine Entscheidung herangezogen werden, die diese Personen berührt. Absatz 1 Satz 2 gilt entsprechend.</w:t>
      </w:r>
    </w:p>
    <w:p>
      <w:r>
        <w:t xml:space="preserve">(3) § 15 gilt entsprechend.</w:t>
      </w:r>
    </w:p>
    <w:p>
      <w:r>
        <w:rPr>
          <w:color w:val="555555"/>
          <w:sz w:val="17"/>
        </w:rPr>
        <w:t xml:space="preserve">Zitiervorschlag: § 13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