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SoldGG — Beschwerderecht</w:t>
      </w:r>
    </w:p>
    <w:p>
      <w:r>
        <w:rPr>
          <w:color w:val="555555"/>
          <w:sz w:val="18"/>
        </w:rPr>
        <w:t xml:space="preserve">Soldatinnen- und Soldaten-Gleichbehandlungsgesetz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Soldatinnen und Soldaten, die sich von Dienststellen der Bundeswehr, von Vorgesetzten oder von Kameradinnen oder Kameraden wegen eines in § 1 Abs. 1 oder 2 genannten Grundes benachteiligt fühlen, können sich beschweren. Das Nähere regelt die Wehrbeschwerdeordnung.</w:t>
      </w:r>
    </w:p>
    <w:p>
      <w:r>
        <w:t xml:space="preserve">(2) Die in § 6 Nr. 2 genannten Personen können sich wegen einer in § 1 Abs. 1 oder 2 genannten Benachteiligung bei der für ihre Einberufung oder Bewerbung zuständigen Stelle der Bundeswehr beschweren. Diese hat die Beschwerde zu prüfen und das Ergebnis der beschwerdeführenden Person mitzuteilen.</w:t>
      </w:r>
    </w:p>
    <w:p>
      <w:r>
        <w:rPr>
          <w:color w:val="555555"/>
          <w:sz w:val="17"/>
        </w:rPr>
        <w:t xml:space="preserve">Zitiervorschlag: § 11 SoldGG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https://recht.nulegal.eu/gesetze/SoldGG/11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