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SoldErnAnO 2026 — Zuständigkeit des Bundesamtes für das Personalmanagement der Bundeswehr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Das Bundesamt für das Personalmanagement der Bundeswehr ernennt und entlässt Soldatinnen und Soldaten bis zum Oberst in der Besoldungsgruppe A 16.</w:t>
      </w:r>
    </w:p>
    <w:p>
      <w:r>
        <w:t xml:space="preserve">(2) Es beruft Bewerberinnen und Bewerber</w:t>
      </w:r>
    </w:p>
    <w:p>
      <w:pPr>
        <w:ind w:left="420"/>
      </w:pPr>
      <w:r>
        <w:t xml:space="preserve">1. in ein Dienstverhältnis als Soldatin auf Zeit, Soldat auf Zeit, Berufssoldatin oder Berufssoldat bis zum Oberst in der Besoldungsgruppe A 16 und</w:t>
      </w:r>
    </w:p>
    <w:p>
      <w:pPr>
        <w:ind w:left="420"/>
      </w:pPr>
      <w:r>
        <w:t xml:space="preserve">2. in ein Reservewehrdienstverhältnis.</w:t>
      </w:r>
    </w:p>
    <w:p>
      <w:r>
        <w:rPr>
          <w:color w:val="555555"/>
          <w:sz w:val="17"/>
        </w:rPr>
        <w:t xml:space="preserve">Zitiervorschlag: § 4 SoldErnAnO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https://recht.nulegal.eu/gesetze/SoldErnAnO%202026/4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