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SoldErnAnO 2015 — Soldaten, die nach dem Wehrpflichtgesetz Wehrdienst leisten</w:t>
      </w:r>
    </w:p>
    <w:p>
      <w:r>
        <w:rPr>
          <w:color w:val="555555"/>
          <w:sz w:val="18"/>
        </w:rPr>
        <w:t xml:space="preserve">Anordnung über die Ernennung und Entlassung von Soldatinnen und Soldaten und die Ernennung von Reservistinnen und Reservisten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Für Soldaten, die Wehrdienst nach § 4 Absatz 1 Nummer 1, 4 oder 7 des Wehrpflichtgesetzes leisten, gilt § 4 entsprechend, und für Soldaten, die Wehrdienst nach § 4 Absatz 1 Nummer 2, 3, 5 oder 6 des Wehrpflichtgesetzes leisten, gilt § 5 entsprechend.</w:t>
      </w:r>
    </w:p>
    <w:p>
      <w:r>
        <w:rPr>
          <w:color w:val="555555"/>
          <w:sz w:val="17"/>
        </w:rPr>
        <w:t xml:space="preserve">Zitiervorschlag: § 6 SoldErnAnO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https://recht.nulegal.eu/gesetze/SoldErnAnO%202015/6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