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SolZG — Tarifvorschriften</w:t>
      </w:r>
    </w:p>
    <w:p>
      <w:r>
        <w:rPr>
          <w:color w:val="555555"/>
          <w:sz w:val="18"/>
        </w:rPr>
        <w:t xml:space="preserve">Solidaritätszuschlaggesetz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Solidaritätszuschlag beträgt in den Fällen</w:t>
      </w:r>
    </w:p>
    <w:p>
      <w:r>
        <w:rPr>
          <w:rFonts w:ascii="Courier New" w:hAnsi="Courier New"/>
          <w:sz w:val="17"/>
        </w:rPr>
        <w:t xml:space="preserve">1.    des § 3 Abs. 1 Nr. 1, 2 und 5    3,75 vom Hundert,</w:t>
      </w:r>
    </w:p>
    <w:p>
      <w:r>
        <w:rPr>
          <w:rFonts w:ascii="Courier New" w:hAnsi="Courier New"/>
          <w:sz w:val="17"/>
        </w:rPr>
        <w:t xml:space="preserve">2.    des § 3 Abs. 1 Nr. 3, 4, 6 und 7    7,5 vom Hundert</w:t>
      </w:r>
    </w:p>
    <w:p>
      <w:r>
        <w:t xml:space="preserve">der Bemessungsgrundlage. Bruchteile eines Pfennigs bleiben außer Ansatz.</w:t>
      </w:r>
    </w:p>
    <w:p>
      <w:r>
        <w:rPr>
          <w:color w:val="555555"/>
          <w:sz w:val="17"/>
        </w:rPr>
        <w:t xml:space="preserve">Zitiervorschlag: § 4 SolZG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