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SolZG — Bemessungsgrundlage</w:t>
      </w:r>
    </w:p>
    <w:p>
      <w:r>
        <w:rPr>
          <w:color w:val="555555"/>
          <w:sz w:val="18"/>
        </w:rPr>
        <w:t xml:space="preserve">Solidaritätszuschlaggesetz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Solidaritätszuschlag bemißt sich vorbehaltlich Absatz 2,</w:t>
      </w:r>
    </w:p>
    <w:p>
      <w:pPr>
        <w:ind w:left="420"/>
      </w:pPr>
      <w:r>
        <w:t xml:space="preserve">1. soweit eine Veranlagung zur Einkommensteuer vorzunehmen ist:nach der für die Veranlagungszeiträume 1991 und 1992 festgesetzten Einkommensteuer;</w:t>
      </w:r>
    </w:p>
    <w:p>
      <w:pPr>
        <w:ind w:left="420"/>
      </w:pPr>
      <w:r>
        <w:t xml:space="preserve">2. soweit eine Veranlagung zur Körperschaftsteuer vorzunehmen ist:nach der für die Veranlagungszeiträume 1991 und 1992 festgesetzten positiven Körperschaftsteuer;</w:t>
      </w:r>
    </w:p>
    <w:p>
      <w:pPr>
        <w:ind w:left="420"/>
      </w:pPr>
      <w:r>
        <w:t xml:space="preserve">3. soweit Vorauszahlungen zur Einkommensteuer oder Körperschaftsteuer zu leisten sind:nach den im Zeitraum vom 1. Juli 1991 bis 30. Juni 1992 zu leistenden Vorauszahlungen für die Kalenderjahre 1991 und 1992;</w:t>
      </w:r>
    </w:p>
    <w:p>
      <w:pPr>
        <w:ind w:left="420"/>
      </w:pPr>
      <w:r>
        <w:t xml:space="preserve">4. soweit Lohnsteuer zu erheben ist:nach der Lohnsteuer, die</w:t>
      </w:r>
    </w:p>
    <w:p>
      <w:pPr>
        <w:ind w:left="780"/>
      </w:pPr>
      <w:r>
        <w:t xml:space="preserve">a) vom laufenden Arbeitslohn zu erheben ist, der für einen nach dem 30. Juni 1991 und vor dem 1. Juli 1992 endenden Lohnzahlungszeitraum gezahlt wird,</w:t>
      </w:r>
    </w:p>
    <w:p>
      <w:pPr>
        <w:ind w:left="780"/>
      </w:pPr>
      <w:r>
        <w:t xml:space="preserve">b) von sonstigen Bezügen zu erheben ist, die nach dem 30. Juni 1991 und vor dem 1. Juli 1992 zufließen;</w:t>
      </w:r>
    </w:p>
    <w:p>
      <w:pPr>
        <w:ind w:left="420"/>
      </w:pPr>
      <w:r>
        <w:t xml:space="preserve">5. soweit ein Lohnsteuer-Jahresausgleich durchzuführen ist:nach der Jahreslohnsteuer für die Ausgleichsjahre 1991 und 1992;</w:t>
      </w:r>
    </w:p>
    <w:p>
      <w:pPr>
        <w:ind w:left="420"/>
      </w:pPr>
      <w:r>
        <w:t xml:space="preserve">6. soweit Kapitalertragsteuer zu erheben ist außer in den Fällen des § 44d des Einkommensteuergesetzes:nach der im Zeitraum vom 1. Juli 1991 bis 30. Juni 1992 zu erhebenden Kapitalertragsteuer;</w:t>
      </w:r>
    </w:p>
    <w:p>
      <w:pPr>
        <w:ind w:left="420"/>
      </w:pPr>
      <w:r>
        <w:t xml:space="preserve">7. soweit bei beschränkt Steuerpflichtigen ein Steuerabzugsbetrag nach § 50a des Einkommensteuergesetzes zu erheben ist:nach dem im Zeitraum vom 1. Juli 1991 bis 30. Juni 1992 zu erhebenden Steuerabzugsbetrag.</w:t>
      </w:r>
    </w:p>
    <w:p>
      <w:r>
        <w:t xml:space="preserve">(2) § 51a Abs. 2 des Einkommensteuergesetzes ist nicht anzuwenden. Steuerermäßigungen nach den §§ 21 und 26 des Berlinförderungsgesetzes mindern die Bemessungsgrundlage nicht.</w:t>
      </w:r>
    </w:p>
    <w:p>
      <w:r>
        <w:rPr>
          <w:color w:val="555555"/>
          <w:sz w:val="17"/>
        </w:rPr>
        <w:t xml:space="preserve">Zitiervorschlag: § 3 SolZG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