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SolZG 1995 — Doppelbesteuerungsabkommen</w:t>
      </w:r>
    </w:p>
    <w:p>
      <w:r>
        <w:rPr>
          <w:color w:val="555555"/>
          <w:sz w:val="18"/>
        </w:rPr>
        <w:t xml:space="preserve">Solidaritätszuschlaggesetz 1995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auf Grund eines Abkommens zur Vermeidung der Doppelbesteuerung im Geltungsbereich dieses Gesetzes erhobene Steuern vom Einkommen ermäßigt, so ist diese Ermäßigung zuerst auf den Solidaritätszuschlag zu beziehen.</w:t>
      </w:r>
    </w:p>
    <w:p>
      <w:r>
        <w:rPr>
          <w:color w:val="555555"/>
          <w:sz w:val="17"/>
        </w:rPr>
        <w:t xml:space="preserve">Zitiervorschlag: § 5 SolZG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https://recht.nulegal.eu/gesetze/SolZG%201995/5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