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SolZG 1995 — Zuschlagsatz</w:t>
      </w:r>
    </w:p>
    <w:p>
      <w:r>
        <w:rPr>
          <w:color w:val="555555"/>
          <w:sz w:val="18"/>
        </w:rPr>
        <w:t xml:space="preserve">Solidaritätszuschlaggesetz 1995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Der Solidaritätszuschlag beträgt 5,5 Prozent der Bemessungsgrundlage. Er beträgt nicht mehr als 11,9 Prozent des Unterschiedsbetrages zwischen der Bemessungsgrundlage, vermindert um die Einkommensteuer nach § 32d Absatz 3 und 4 des Einkommensteuergesetzes, und der nach § 3 Absatz 3, 4 und 5 jeweils maßgebenden Freigrenze. Bruchteile eines Cents bleiben außer Ansatz. Der Solidaritätszuschlag auf die Einkommensteuer nach § 32d Absatz 3 und 4 des Einkommensteuergesetzes und auf die Lohnsteuer nach § 39b Absatz 3 des Einkommensteuergesetzes beträgt ungeachtet des Satzes 2 5,5 Prozent.</w:t>
      </w:r>
    </w:p>
    <w:p>
      <w:r>
        <w:rPr>
          <w:color w:val="555555"/>
          <w:sz w:val="17"/>
        </w:rPr>
        <w:t xml:space="preserve">Zitiervorschlag: § 4 SolZG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https://recht.nulegal.eu/gesetze/SolZG%201995/4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