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SokaSiG — Beendigung des Tarifvertrags</w:t>
      </w:r>
    </w:p>
    <w:p>
      <w:r>
        <w:rPr>
          <w:color w:val="555555"/>
          <w:sz w:val="18"/>
        </w:rPr>
        <w:t xml:space="preserve">Sozialkassenverfahrensicherungsgesetz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Tarifvertrag endet im Sinne dieses Gesetzes, wenn er gekündigt, aufgehoben, geändert oder durch einen anderen Tarifvertrag ganz oder teilweise abgelöst wird.</w:t>
      </w:r>
    </w:p>
    <w:p>
      <w:r>
        <w:t xml:space="preserve">(2) Die oberste Arbeitsbehörde des Bundes macht die Beendigung des Tarifvertrags im Bundesanzeiger bekannt.</w:t>
      </w:r>
    </w:p>
    <w:p>
      <w:r>
        <w:rPr>
          <w:color w:val="555555"/>
          <w:sz w:val="17"/>
        </w:rPr>
        <w:t xml:space="preserve">Zitiervorschlag: § 9 SokaSiG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https://recht.nulegal.eu/gesetze/SokaSiG/9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