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SokaSiG — Zivilrechtliche Durchsetzung</w:t>
      </w:r>
    </w:p>
    <w:p>
      <w:r>
        <w:rPr>
          <w:color w:val="555555"/>
          <w:sz w:val="18"/>
        </w:rPr>
        <w:t xml:space="preserve">Sozialkassenverfahrensicherungsgesetz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Verpflichtung zur Zahlung von Beiträgen zum Urlaubskassenverfahren an die Urlaubs- und Lohnausgleichskasse der Bauwirtschaft findet Abschnitt 5 des Arbeitnehmer-Entsendegesetzes entsprechende Anwendung.</w:t>
      </w:r>
    </w:p>
    <w:p>
      <w:r>
        <w:rPr>
          <w:color w:val="555555"/>
          <w:sz w:val="17"/>
        </w:rPr>
        <w:t xml:space="preserve">Zitiervorschlag: § 12 SokaSiG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https://recht.nulegal.eu/gesetze/SokaSiG/12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SokaSiG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