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SokaSiG — Anwendungsbereich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tarifvertraglichen Rechtsnormen, auf die in den §§ 1 bis 8 verwiesen wird, gelten nicht für Betriebe und selbständige Betriebsabteilungen, die die Maßgaben der Anlage 37 erfüllen.</w:t>
      </w:r>
    </w:p>
    <w:p>
      <w:r>
        <w:t xml:space="preserve">(2) Arbeitnehmer im Sinne der §§ 1 bis 8 sind die unter den persönlichen Geltungsbereich des jeweiligen Tarifvertrags fallenden Personen.</w:t>
      </w:r>
    </w:p>
    <w:p>
      <w:r>
        <w:rPr>
          <w:color w:val="555555"/>
          <w:sz w:val="17"/>
        </w:rPr>
        <w:t xml:space="preserve">Zitiervorschlag: § 10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SokaSiG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