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SokaSiG 2 — Zusätzliche Altersversorgung im Betonsteingewerbe Nordwestdeutschland</w:t>
      </w:r>
    </w:p>
    <w:p>
      <w:r>
        <w:rPr>
          <w:color w:val="555555"/>
          <w:sz w:val="18"/>
        </w:rPr>
        <w:t xml:space="preserve">Zweites Sozialkassenverfahrensicherungsgesetz</w:t>
      </w:r>
    </w:p>
    <w:p>
      <w:r>
        <w:rPr>
          <w:color w:val="555555"/>
          <w:sz w:val="18"/>
        </w:rPr>
        <w:t xml:space="preserve">Stand: 10.06.2019 (konsolidierte Textfassung, kein amtliches Inkrafttretensdatum)</w:t>
      </w:r>
    </w:p>
    <w:p>
      <w:r>
        <w:t xml:space="preserve">(1) Die Rechtsnormen des Tarifvertrags über die überbetriebliche Zusatzversorgung im Betonsteingewerbe (Beton- und Fertigteilindustrie und Betonsteinhandwerk) Nordwestdeutschlands vom 1. April 1986 gelten in der aus der Anlage 64 ersichtlichen Fassung in seinem Geltungsbereich für alle Arbeitgeber und Arbeitnehmer für den Zeitraum vom 1. Januar 2008 bis zur Beendigung des Tarifvertrags.</w:t>
      </w:r>
    </w:p>
    <w:p>
      <w:r>
        <w:t xml:space="preserve">(2) Für den Zeitraum vom 1. Januar 2006 bis zum 31. Dezember 2007 gelten die Rechtsnormen des Tarifvertrags über die überbetriebliche Zusatzversorgung im Betonsteingewerbe (Beton- und Fertigteilindustrie und Betonsteinhandwerk) Nordwestdeutschlands vom 1. April 1986 in der aus der Anlage 65 ersichtlichen Fassung in seinem Geltungsbereich für alle Arbeitgeber und Arbeitnehmer.</w:t>
      </w:r>
    </w:p>
    <w:p>
      <w:r>
        <w:rPr>
          <w:color w:val="555555"/>
          <w:sz w:val="17"/>
        </w:rPr>
        <w:t xml:space="preserve">Zitiervorschlag: § 21 SokaSiG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https://recht.nulegal.eu/gesetze/SokaSiG%202/21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