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SokaSiG 2 — Betrieblicher Anwendungsbereich</w:t>
      </w:r>
    </w:p>
    <w:p>
      <w:r>
        <w:rPr>
          <w:color w:val="555555"/>
          <w:sz w:val="18"/>
        </w:rPr>
        <w:t xml:space="preserve">Zweites Sozialkassenverfahrensicherungsgesetz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tarifvertraglichen Rechtsnormen, auf die in § 16 Absatz 1 und 2, in § 17 Absatz 1 bis 3, in § 18 Absatz 1 bis 3 sowie in § 19 Absatz 1 verwiesen wird, gelten nicht für Betriebe, die von dem Tarifvertrag über eine Zusatzrente im Betonstein- und Terrazzoherstellerhandwerk vom 13. Dezember 2010 erfasst werden.</w:t>
      </w:r>
    </w:p>
    <w:p>
      <w:r>
        <w:rPr>
          <w:color w:val="555555"/>
          <w:sz w:val="17"/>
        </w:rPr>
        <w:t xml:space="preserve">Zitiervorschlag: § 20 SokaSiG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https://recht.nulegal.eu/gesetze/SokaSiG%202/20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