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SokaSiG 2 — Urlaubsregelungen im Maler- und Lackiererhandwerk</w:t>
      </w:r>
    </w:p>
    <w:p>
      <w:r>
        <w:rPr>
          <w:color w:val="555555"/>
          <w:sz w:val="18"/>
        </w:rPr>
        <w:t xml:space="preserve">Zweites Sozialkassenverfahrensicherungsgesetz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Rechtsnormen des § 3 Nummer 2, des § 6, des § 7 Nummer 1, der §§ 8, 9, 13, 17 bis 21, 23 bis 24a, 26 bis 29, des § 34 Nummer 5, der §§ 35 bis 36, 38 bis 44, 46, 49 und 50 des Rahmentarifvertrags für die gewerblichen Arbeitnehmer im Maler- und Lackiererhandwerk vom 30. März 1992 gelten in der aus der Anlage 5 ersichtlichen Fassung in seinem Geltungsbereich für alle Arbeitgeber und Arbeitnehmer für den Zeitraum vom 1. Januar 2012 bis zur Beendigung des Tarifvertrags.</w:t>
      </w:r>
    </w:p>
    <w:p>
      <w:r>
        <w:t xml:space="preserve">(2) Für den Zeitraum vom 1. Januar 2009 bis zum 31. Dezember 2011 gelten die Rechtsnormen des § 3 Nummer 2, des § 6, des § 7 Nummer 1, der §§ 8, 9, 13, 17 bis 21, 23 bis 24, 26 bis 29, des § 34 Nummer 5, der §§ 35 bis 36, 38 bis 44, 46, 49 und 50 des Rahmentarifvertrags für die gewerblichen Arbeitnehmer im Maler- und Lackiererhandwerk vom 30. März 1992 in der aus der Anlage 6 ersichtlichen Fassung in seinem Geltungsbereich für alle Arbeitgeber und Arbeitnehmer.</w:t>
      </w:r>
    </w:p>
    <w:p>
      <w:r>
        <w:t xml:space="preserve">(3) Für den Zeitraum vom 1. September 2007 bis zum 31. Dezember 2008 gelten die Rechtsnormen des § 3 Nummer 2, des § 6, des § 7 Nummer 1, der §§ 8, 9, 13, 17 bis 21, 23 bis 24, 26 bis 29, des § 34 Nummer 5, der §§ 35 bis 36, 38 bis 44, 46, 49 und 50 des Rahmentarifvertrags für die gewerblichen Arbeitnehmer im Maler- und Lackiererhandwerk vom 30. März 1992 in der aus der Anlage 7 ersichtlichen Fassung in seinem Geltungsbereich für alle Arbeitgeber und Arbeitnehmer.</w:t>
      </w:r>
    </w:p>
    <w:p>
      <w:r>
        <w:t xml:space="preserve">(4) Für den Zeitraum vom 1. Januar 2006 bis zum 31. August 2007 gelten die Rechtsnormen des § 3 Nummer 2, des § 6, des § 7 Nummer 1, der §§ 8, 9, 13, 17 bis 21, 23 bis 24, 26 bis 29, des § 34 Nummer 5, der §§ 35 bis 36, 38 bis 44, 46, 49 und 50 des Rahmentarifvertrags für die gewerblichen Arbeitnehmer im Maler- und Lackiererhandwerk vom 30. März 1992 in der aus der Anlage 8 ersichtlichen Fassung in seinem Geltungsbereich für alle Arbeitgeber und Arbeitnehmer.</w:t>
      </w:r>
    </w:p>
    <w:p>
      <w:r>
        <w:t xml:space="preserve">(5) Die Absätze 1 bis 4 finden keine Anwendung auf Arbeitsverhältnisse zwischen einem im Ausland ansässigen Arbeitgeber und seinen im Inland beschäftigten Arbeitnehmern.</w:t>
      </w:r>
    </w:p>
    <w:p>
      <w:r>
        <w:rPr>
          <w:color w:val="555555"/>
          <w:sz w:val="17"/>
        </w:rPr>
        <w:t xml:space="preserve">Zitiervorschlag: § 2 SokaSiG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https://recht.nulegal.eu/gesetze/SokaSiG%202/2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SokaSiG 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