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SojBoSaatV</w:t>
      </w:r>
    </w:p>
    <w:p>
      <w:r>
        <w:rPr>
          <w:color w:val="555555"/>
          <w:sz w:val="18"/>
        </w:rPr>
        <w:t xml:space="preserve">Verordnung über besondere Anforderungen an Saatgut von Sojabohne im Rahmen der Saatgutanerkennung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durch Artikel 192 Nummer 1 der Verordnung vom 31. Oktober 2006 (BGBl. I S. 2407) geändert worden sind,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SojBoSaatV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https://recht.nulegal.eu/gesetze/SojBoSaatV/eingangsformel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