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SojBoSaatV</w:t>
      </w:r>
    </w:p>
    <w:p>
      <w:r>
        <w:rPr>
          <w:color w:val="555555"/>
          <w:sz w:val="18"/>
        </w:rPr>
        <w:t xml:space="preserve">Verordnung über besondere Anforderungen an Saatgut von Sojabohne im Rahmen der Saatgutanerkennung 2010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Abweichend von § 6 Satz 2 in Verbindung mit Anlage 3 Nummer 5.1.6 Spalte 3 der Saatgutverordnung in der Fassung der Bekanntmachung vom 8. Februar 2006 (BGBl. I S. 344), die zuletzt durch Artikel 2 der Verordnung vom 16. März 2010 (BGBl. I S. 282) geändert worden ist, beträgt die Mindestkeimfähigkeit für Zertifiziertes Saatgut von Sojabohne der Sorte „Sultana” 65 vom Hundert der reinen Körner.</w:t>
      </w:r>
    </w:p>
    <w:p>
      <w:r>
        <w:t xml:space="preserve">(2) Saatgut, das nach den Anforderungen des Absatzes 1 anerkannt worden ist, darf bis zum Ablauf des 15. Mai 2010 in den Verkehr gebracht werden.</w:t>
      </w:r>
    </w:p>
    <w:p>
      <w:r>
        <w:rPr>
          <w:color w:val="555555"/>
          <w:sz w:val="17"/>
        </w:rPr>
        <w:t xml:space="preserve">Zitiervorschlag: § 1 SojBoSaatV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https://recht.nulegal.eu/gesetze/SojBoSaatV/1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