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SodEGZV (Brandenburg) — Zuständigkeit des Landesamtes für Soziales und Versorgung</w:t>
      </w:r>
    </w:p>
    <w:p>
      <w:r>
        <w:rPr>
          <w:color w:val="555555"/>
          <w:sz w:val="18"/>
        </w:rPr>
        <w:t xml:space="preserve">Sozialdienstleister-Einsatzgesetz-Zuständigkeitsverordnung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Soziales und Versorgung nimmt die Aufgaben nach dem Sozialdienstleister-Einsatzgesetz</w:t>
      </w:r>
    </w:p>
    <w:p>
      <w:r>
        <w:t xml:space="preserve">als Versorgungsamt, Hauptfürsorgestelle und orthopädische Versorgungsstelle im Recht der sozialen Entschädigung nach § 1 Absatz 1 der Versorgungsverwaltungszuständigkeitsverordnung vom 11. August 2006 ( GVBl. II S. 349) und</w:t>
      </w:r>
    </w:p>
    <w:p>
      <w:r>
        <w:t xml:space="preserve">als Integrationsamt für Leistungen zur Rehabilitation und Teilhabe an behinderte Menschen nach § 1 Absatz 2 der Versorgungsverwaltungszuständigkeitsverordnung</w:t>
      </w:r>
    </w:p>
    <w:p>
      <w:r>
        <w:t xml:space="preserve">wahr.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SodEGZV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