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SodEG — Ergänzende Bestimmungen für soziale Dienstleister im Bereich der interdisziplinären Früherkennung und Frühförderung</w:t>
      </w:r>
    </w:p>
    <w:p>
      <w:r>
        <w:rPr>
          <w:color w:val="555555"/>
          <w:sz w:val="18"/>
        </w:rPr>
        <w:t xml:space="preserve">Sozialdienstleister-Einsatzgesetz</w:t>
      </w:r>
    </w:p>
    <w:p>
      <w:r>
        <w:rPr>
          <w:color w:val="555555"/>
          <w:sz w:val="18"/>
        </w:rPr>
        <w:t xml:space="preserve">Stand: 29.05.2020 (konsolidierte Textfassung, kein amtliches Inkrafttretensdatum)</w:t>
      </w:r>
    </w:p>
    <w:p>
      <w:r>
        <w:t xml:space="preserve">(1) Die Umsetzung des Sicherstellungsauftrags nach § 3 durch Leistungsträger nach § 2 Satz 4 erfolgt durch von den Landesverbänden der Krankenkassen und den Ersatzkassen gemeinsam benannte Krankenkassen. Die sozialen Dienstleister melden die für die Berechnung der Zuschüsse von den Leistungsträgern nach dem Fünften Buch Sozialgesetzbuch erforderlichen Angaben an die benannte Krankenkasse. Die benannten Krankenkassen summieren die auf der Grundlage der Meldungen nach Satz 2 ermittelten Zuschussbeträge und übermitteln sie an das Bundesamt für Soziale Sicherung. Das Bundesamt für Soziale Sicherung zahlt auf Grundlage der angemeldeten Mittelbedarfe die Beträge an die benannten Krankenkassen zur Weiterleitung an die sozialen Dienstleister aus der Liquiditätsreserve des Gesundheitsfonds. Der Spitzenverband Bund der Krankenkassen bestimmt das Nähere zur Ermittlung der von den Leistungsträgern nach dem Fünften Buch Sozialgesetzbuch zu leistenden Zuschüsse. Das Bundesamt für Soziale Sicherung bestimmt das Nähere zum Verfahren der Übermittlung der aufsummierten Beträge sowie der Zahlung aus der Liquiditätsreserve des Gesundheitsfonds.</w:t>
      </w:r>
    </w:p>
    <w:p>
      <w:r>
        <w:t xml:space="preserve">(2) Die nach Absatz 1 benannte Krankenkasse ist im Rahmen der nachträglichen Erstattung anspruchsberechtigter Leistungsträger im Sinne von § 4. Als vorrangige Mittel gelten auch Vergütungen der Krankenkassen für Leistungen nach § 2 Satz 4. Die benannte Krankenkasse leitet Erstattungen nach § 4 an die Liquiditätsreserve des Gesundheitsfonds weiter. Nach Abschluss der Zahlungen nach Absatz 1 Satz 4 durch das Bundesamt für Soziale Sicherung übermitteln die benannten Krankenkassen dem Bundesministerium für Gesundheit bis zum Ende des darauffolgenden Kalendermonats eine einrichtungsbezogene Aufstellung der ausgezahlten und zurückerstatteten Finanzmittel.</w:t>
      </w:r>
    </w:p>
    <w:p>
      <w:r>
        <w:rPr>
          <w:color w:val="555555"/>
          <w:sz w:val="17"/>
        </w:rPr>
        <w:t xml:space="preserve">Zitiervorschlag: § 9 SodEG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