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SobAG (Nordrhein-Westfalen) — Verordnungsermächtigung</w:t>
      </w:r>
    </w:p>
    <w:p>
      <w:r>
        <w:rPr>
          <w:color w:val="555555"/>
          <w:sz w:val="18"/>
        </w:rPr>
        <w:t xml:space="preserve">Sozialberufe-Anerkennungsgesetz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Kinder und Jugend zuständige Ministerium wird ermächtigt, durch Rechtsverordnung das Nähere zu den Voraussetzungen und dem Verfahren der Anerkennung der berufsrechtlichen Eignung eines Studiengangs nach § 2 und § 3 zu regeln.</w:t>
      </w:r>
    </w:p>
    <w:p>
      <w:r>
        <w:t xml:space="preserve">(2) Das für Soziales zuständige Ministerium wird ermächtigt, durch Rechtsverordnung das Nähere zu den Voraussetzungen und dem Verfahren der Anerkennung der berufsrechtlichen Eignung eines Studiengangs nach § 4 zu regeln.</w:t>
      </w:r>
    </w:p>
    <w:p>
      <w:r>
        <w:rPr>
          <w:color w:val="555555"/>
          <w:sz w:val="17"/>
        </w:rPr>
        <w:t xml:space="preserve">Zitiervorschlag: § 8 SobAG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https://recht.nulegal.eu/gesetze/SobAG/8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